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7D162A" w:rsidRDefault="00B454B7" w:rsidP="007D162A">
      <w:pPr>
        <w:spacing w:line="240" w:lineRule="auto"/>
        <w:ind w:firstLine="0"/>
        <w:jc w:val="center"/>
        <w:rPr>
          <w:sz w:val="22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78"/>
        <w:gridCol w:w="2977"/>
      </w:tblGrid>
      <w:tr w:rsidR="004B69F5" w:rsidTr="007D162A">
        <w:trPr>
          <w:trHeight w:val="469"/>
        </w:trPr>
        <w:tc>
          <w:tcPr>
            <w:tcW w:w="1951" w:type="dxa"/>
          </w:tcPr>
          <w:p w:rsidR="004B69F5" w:rsidRPr="007D162A" w:rsidRDefault="004B69F5" w:rsidP="007D162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162A">
              <w:rPr>
                <w:b/>
                <w:sz w:val="24"/>
                <w:szCs w:val="24"/>
              </w:rPr>
              <w:t xml:space="preserve">№ </w:t>
            </w:r>
            <w:r w:rsidR="007D162A" w:rsidRPr="007D162A">
              <w:rPr>
                <w:b/>
                <w:sz w:val="24"/>
                <w:szCs w:val="24"/>
              </w:rPr>
              <w:t>643</w:t>
            </w:r>
            <w:r w:rsidR="00D021FB" w:rsidRPr="007D162A">
              <w:rPr>
                <w:b/>
                <w:sz w:val="24"/>
                <w:szCs w:val="24"/>
              </w:rPr>
              <w:t>/</w:t>
            </w:r>
            <w:r w:rsidR="000D521C" w:rsidRPr="007D162A">
              <w:rPr>
                <w:b/>
                <w:sz w:val="24"/>
                <w:szCs w:val="24"/>
              </w:rPr>
              <w:t>У</w:t>
            </w:r>
            <w:r w:rsidR="00A66630" w:rsidRPr="007D162A">
              <w:rPr>
                <w:b/>
                <w:sz w:val="24"/>
                <w:szCs w:val="24"/>
              </w:rPr>
              <w:t>КС</w:t>
            </w:r>
            <w:r w:rsidR="00D021FB" w:rsidRPr="007D162A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977" w:type="dxa"/>
          </w:tcPr>
          <w:p w:rsidR="004B69F5" w:rsidRPr="007D162A" w:rsidRDefault="000D521C" w:rsidP="00D1232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1232E">
              <w:rPr>
                <w:rFonts w:ascii="Times New Roman" w:hAnsi="Times New Roman"/>
                <w:sz w:val="24"/>
                <w:szCs w:val="24"/>
              </w:rPr>
              <w:t>01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62A" w:rsidRPr="007D162A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4B1AD5" w:rsidRPr="007D1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D162A" w:rsidRDefault="007D162A" w:rsidP="007D162A">
      <w:pPr>
        <w:pStyle w:val="a6"/>
        <w:tabs>
          <w:tab w:val="left" w:pos="708"/>
        </w:tabs>
        <w:spacing w:line="240" w:lineRule="auto"/>
        <w:rPr>
          <w:b/>
          <w:bCs/>
          <w:i/>
          <w:iCs/>
          <w:w w:val="110"/>
          <w:sz w:val="26"/>
          <w:szCs w:val="26"/>
        </w:rPr>
      </w:pPr>
      <w:r>
        <w:rPr>
          <w:sz w:val="26"/>
          <w:szCs w:val="26"/>
        </w:rPr>
        <w:t xml:space="preserve">Открытый запрос предложений  на право заключения договора: </w:t>
      </w:r>
      <w:r>
        <w:rPr>
          <w:b/>
          <w:bCs/>
          <w:i/>
          <w:iCs/>
          <w:w w:val="110"/>
          <w:sz w:val="26"/>
          <w:szCs w:val="26"/>
        </w:rPr>
        <w:t xml:space="preserve">лот № 1 «Оформление документов о правах на земельные участки по объектам ТП до 15 кВт»; </w:t>
      </w:r>
      <w:r>
        <w:rPr>
          <w:b/>
          <w:bCs/>
          <w:i/>
          <w:iCs/>
          <w:snapToGrid w:val="0"/>
          <w:w w:val="110"/>
          <w:sz w:val="26"/>
          <w:szCs w:val="26"/>
        </w:rPr>
        <w:t xml:space="preserve">лот № 2  «Оформление документов о правах на земельные участки по объектам ТП до 150 кВт </w:t>
      </w:r>
      <w:r>
        <w:rPr>
          <w:bCs/>
          <w:iCs/>
          <w:snapToGrid w:val="0"/>
          <w:w w:val="110"/>
          <w:sz w:val="26"/>
          <w:szCs w:val="26"/>
        </w:rPr>
        <w:t>для нужд филиала «Приморские электрические сети»</w:t>
      </w:r>
      <w:r>
        <w:rPr>
          <w:b/>
          <w:bCs/>
          <w:i/>
          <w:iCs/>
          <w:w w:val="110"/>
          <w:sz w:val="26"/>
          <w:szCs w:val="26"/>
        </w:rPr>
        <w:t xml:space="preserve"> </w:t>
      </w:r>
    </w:p>
    <w:p w:rsidR="007D162A" w:rsidRDefault="007D162A" w:rsidP="007D162A">
      <w:pPr>
        <w:pStyle w:val="a6"/>
        <w:tabs>
          <w:tab w:val="left" w:pos="708"/>
        </w:tabs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ab/>
      </w:r>
      <w:r>
        <w:rPr>
          <w:sz w:val="26"/>
          <w:szCs w:val="26"/>
        </w:rPr>
        <w:t>Закупка проводится согласно ГКПЗ 2014г. раздела  2.1.1 «Услуги КС»  № 2636,2637  на основании указания ОАО «ДРСК» от  27.10.2014 г. № 269.</w:t>
      </w:r>
    </w:p>
    <w:p w:rsidR="007D162A" w:rsidRDefault="007D162A" w:rsidP="007D162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</w:p>
    <w:p w:rsidR="007D162A" w:rsidRDefault="007D162A" w:rsidP="007D162A">
      <w:pPr>
        <w:pStyle w:val="a6"/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лот 1-750 000,00 руб. без НДС;</w:t>
      </w:r>
    </w:p>
    <w:p w:rsidR="007D162A" w:rsidRDefault="007D162A" w:rsidP="007D162A">
      <w:pPr>
        <w:spacing w:line="240" w:lineRule="auto"/>
        <w:ind w:firstLine="0"/>
        <w:rPr>
          <w:sz w:val="26"/>
          <w:szCs w:val="26"/>
        </w:rPr>
      </w:pPr>
      <w:r>
        <w:rPr>
          <w:b/>
          <w:i/>
          <w:sz w:val="26"/>
          <w:szCs w:val="26"/>
        </w:rPr>
        <w:t>лот 2- 1 922 720,00 руб. без НДС</w:t>
      </w:r>
      <w:r>
        <w:rPr>
          <w:sz w:val="26"/>
          <w:szCs w:val="26"/>
        </w:rPr>
        <w:t>.</w:t>
      </w:r>
    </w:p>
    <w:p w:rsidR="007D162A" w:rsidRDefault="007D162A" w:rsidP="007D162A">
      <w:pPr>
        <w:tabs>
          <w:tab w:val="left" w:pos="851"/>
        </w:tabs>
        <w:spacing w:line="240" w:lineRule="auto"/>
        <w:ind w:firstLine="709"/>
        <w:rPr>
          <w:snapToGrid/>
          <w:sz w:val="26"/>
          <w:szCs w:val="26"/>
        </w:rPr>
      </w:pPr>
      <w:r>
        <w:rPr>
          <w:sz w:val="26"/>
          <w:szCs w:val="26"/>
        </w:rPr>
        <w:t>Форма голосования членов Закупочной комиссии: очно-заочная.</w:t>
      </w:r>
    </w:p>
    <w:p w:rsidR="000D521C" w:rsidRPr="007D162A" w:rsidRDefault="000D521C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7D162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7D162A">
        <w:rPr>
          <w:b/>
          <w:sz w:val="26"/>
          <w:szCs w:val="26"/>
        </w:rPr>
        <w:t xml:space="preserve">ПРИСУТСТВОВАЛИ: </w:t>
      </w:r>
      <w:r w:rsidR="00D1232E" w:rsidRPr="00D1232E">
        <w:rPr>
          <w:sz w:val="26"/>
          <w:szCs w:val="26"/>
        </w:rPr>
        <w:t>5</w:t>
      </w:r>
      <w:r w:rsidR="00B8408A" w:rsidRPr="007D162A">
        <w:rPr>
          <w:sz w:val="26"/>
          <w:szCs w:val="26"/>
        </w:rPr>
        <w:t xml:space="preserve"> членов</w:t>
      </w:r>
      <w:r w:rsidR="00B8408A" w:rsidRPr="007D162A">
        <w:rPr>
          <w:b/>
          <w:sz w:val="26"/>
          <w:szCs w:val="26"/>
        </w:rPr>
        <w:t xml:space="preserve"> </w:t>
      </w:r>
      <w:r w:rsidRPr="007D162A">
        <w:rPr>
          <w:sz w:val="26"/>
          <w:szCs w:val="26"/>
        </w:rPr>
        <w:t xml:space="preserve">постоянно </w:t>
      </w:r>
      <w:proofErr w:type="gramStart"/>
      <w:r w:rsidRPr="007D162A">
        <w:rPr>
          <w:sz w:val="26"/>
          <w:szCs w:val="26"/>
        </w:rPr>
        <w:t>действующ</w:t>
      </w:r>
      <w:r w:rsidR="00B8408A" w:rsidRPr="007D162A">
        <w:rPr>
          <w:sz w:val="26"/>
          <w:szCs w:val="26"/>
        </w:rPr>
        <w:t>ей</w:t>
      </w:r>
      <w:proofErr w:type="gramEnd"/>
      <w:r w:rsidRPr="007D162A">
        <w:rPr>
          <w:sz w:val="26"/>
          <w:szCs w:val="26"/>
        </w:rPr>
        <w:t xml:space="preserve"> Закупочная комиссия 2-го уровня.</w:t>
      </w:r>
    </w:p>
    <w:p w:rsidR="003C690B" w:rsidRPr="00A66630" w:rsidRDefault="003C690B" w:rsidP="000D521C">
      <w:pPr>
        <w:spacing w:line="240" w:lineRule="auto"/>
        <w:ind w:firstLine="0"/>
        <w:rPr>
          <w:sz w:val="22"/>
          <w:szCs w:val="22"/>
        </w:rPr>
      </w:pPr>
    </w:p>
    <w:p w:rsidR="007D162A" w:rsidRDefault="007D162A" w:rsidP="007D162A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D162A" w:rsidRDefault="007D162A" w:rsidP="007D162A">
      <w:pPr>
        <w:pStyle w:val="a9"/>
        <w:numPr>
          <w:ilvl w:val="0"/>
          <w:numId w:val="20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предложения  ООО "</w:t>
      </w:r>
      <w:proofErr w:type="spellStart"/>
      <w:r>
        <w:rPr>
          <w:bCs/>
          <w:i/>
          <w:iCs/>
          <w:sz w:val="26"/>
          <w:szCs w:val="26"/>
        </w:rPr>
        <w:t>Владинжиниринг</w:t>
      </w:r>
      <w:proofErr w:type="spellEnd"/>
      <w:r>
        <w:rPr>
          <w:bCs/>
          <w:i/>
          <w:iCs/>
          <w:sz w:val="26"/>
          <w:szCs w:val="26"/>
        </w:rPr>
        <w:t>"  г. Владивосток;</w:t>
      </w:r>
    </w:p>
    <w:p w:rsidR="007D162A" w:rsidRDefault="007D162A" w:rsidP="007D162A">
      <w:pPr>
        <w:pStyle w:val="a9"/>
        <w:numPr>
          <w:ilvl w:val="0"/>
          <w:numId w:val="20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предложения  ООО ПК "Кадастровое дело"  г. Владивосток;</w:t>
      </w:r>
    </w:p>
    <w:p w:rsidR="007D162A" w:rsidRDefault="007D162A" w:rsidP="007D162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предложения соответствующим условиям закупки</w:t>
      </w:r>
    </w:p>
    <w:p w:rsidR="007D162A" w:rsidRDefault="007D162A" w:rsidP="007D162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</w:t>
      </w:r>
    </w:p>
    <w:p w:rsidR="007D162A" w:rsidRDefault="007D162A" w:rsidP="007D162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7D162A" w:rsidRDefault="007D162A" w:rsidP="007D162A">
      <w:pPr>
        <w:spacing w:line="240" w:lineRule="auto"/>
        <w:ind w:firstLine="0"/>
        <w:rPr>
          <w:sz w:val="26"/>
          <w:szCs w:val="26"/>
        </w:rPr>
      </w:pPr>
    </w:p>
    <w:p w:rsidR="007D162A" w:rsidRDefault="007D162A" w:rsidP="007D162A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1 «Об отклонении предложения  ООО "</w:t>
      </w:r>
      <w:proofErr w:type="spellStart"/>
      <w:r>
        <w:rPr>
          <w:b/>
          <w:bCs/>
          <w:i/>
          <w:iCs/>
          <w:sz w:val="26"/>
          <w:szCs w:val="26"/>
        </w:rPr>
        <w:t>Владинжиниринг</w:t>
      </w:r>
      <w:proofErr w:type="spellEnd"/>
      <w:r>
        <w:rPr>
          <w:b/>
          <w:bCs/>
          <w:i/>
          <w:iCs/>
          <w:sz w:val="26"/>
          <w:szCs w:val="26"/>
        </w:rPr>
        <w:t>"  г. Владивосток (лот № 1, лот № 2)</w:t>
      </w:r>
    </w:p>
    <w:p w:rsidR="007D162A" w:rsidRDefault="007D162A" w:rsidP="007D162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7D162A" w:rsidRDefault="007D162A" w:rsidP="007D162A">
      <w:pPr>
        <w:pStyle w:val="a9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Предложение Участника </w:t>
      </w:r>
      <w:r>
        <w:rPr>
          <w:b/>
          <w:bCs/>
          <w:i/>
          <w:iCs/>
          <w:sz w:val="26"/>
          <w:szCs w:val="26"/>
          <w:lang w:eastAsia="en-US"/>
        </w:rPr>
        <w:t>ООО "</w:t>
      </w:r>
      <w:proofErr w:type="spellStart"/>
      <w:r>
        <w:rPr>
          <w:b/>
          <w:bCs/>
          <w:i/>
          <w:iCs/>
          <w:sz w:val="26"/>
          <w:szCs w:val="26"/>
          <w:lang w:eastAsia="en-US"/>
        </w:rPr>
        <w:t>Владинжиниринг</w:t>
      </w:r>
      <w:proofErr w:type="spellEnd"/>
      <w:r>
        <w:rPr>
          <w:b/>
          <w:bCs/>
          <w:i/>
          <w:iCs/>
          <w:sz w:val="26"/>
          <w:szCs w:val="26"/>
          <w:lang w:eastAsia="en-US"/>
        </w:rPr>
        <w:t>"  г. Владивосток (лот № 1, лот № 2)</w:t>
      </w:r>
      <w:r>
        <w:rPr>
          <w:sz w:val="26"/>
          <w:szCs w:val="26"/>
        </w:rPr>
        <w:t xml:space="preserve"> содержит достаточные для отклонения причины, заключающиеся в несоответствии предложения требованиям Закупочной документации, а именно требованиям пункта </w:t>
      </w:r>
      <w:r>
        <w:rPr>
          <w:bCs/>
          <w:sz w:val="26"/>
          <w:szCs w:val="26"/>
        </w:rPr>
        <w:t xml:space="preserve">3.2. Технического задания и п.4.1.16. </w:t>
      </w:r>
      <w:proofErr w:type="spellStart"/>
      <w:r>
        <w:rPr>
          <w:bCs/>
          <w:sz w:val="26"/>
          <w:szCs w:val="26"/>
        </w:rPr>
        <w:t>п.п</w:t>
      </w:r>
      <w:proofErr w:type="spellEnd"/>
      <w:r>
        <w:rPr>
          <w:bCs/>
          <w:sz w:val="26"/>
          <w:szCs w:val="26"/>
        </w:rPr>
        <w:t>. 10.2 Закупочной документации - не представлены копии документов о поверке приборов</w:t>
      </w:r>
      <w:r>
        <w:rPr>
          <w:sz w:val="26"/>
          <w:szCs w:val="26"/>
        </w:rPr>
        <w:t xml:space="preserve">. </w:t>
      </w:r>
    </w:p>
    <w:p w:rsidR="007D162A" w:rsidRDefault="007D162A" w:rsidP="007D162A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Предлагается отклонить данное предложение от дальнейшего рассмотрения.</w:t>
      </w:r>
    </w:p>
    <w:p w:rsidR="007D162A" w:rsidRDefault="007D162A" w:rsidP="007D162A">
      <w:pPr>
        <w:pStyle w:val="2"/>
        <w:ind w:firstLine="0"/>
        <w:rPr>
          <w:b/>
          <w:bCs/>
          <w:i/>
          <w:iCs/>
          <w:sz w:val="26"/>
          <w:szCs w:val="26"/>
        </w:rPr>
      </w:pPr>
      <w:bookmarkStart w:id="2" w:name="_GoBack"/>
      <w:bookmarkEnd w:id="2"/>
    </w:p>
    <w:p w:rsidR="007D162A" w:rsidRDefault="007D162A" w:rsidP="007D162A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2 «Об отклонении предложения  ООО ПК "Кадастровое дело"  г. Владивосток (лот № 1, лот № 2)</w:t>
      </w:r>
    </w:p>
    <w:p w:rsidR="007D162A" w:rsidRDefault="007D162A" w:rsidP="007D162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7D162A" w:rsidRDefault="007D162A" w:rsidP="007D162A">
      <w:pPr>
        <w:pStyle w:val="a9"/>
        <w:spacing w:line="240" w:lineRule="auto"/>
        <w:ind w:left="0"/>
        <w:rPr>
          <w:bCs/>
          <w:sz w:val="26"/>
          <w:szCs w:val="26"/>
        </w:rPr>
      </w:pPr>
      <w:r>
        <w:rPr>
          <w:sz w:val="26"/>
          <w:szCs w:val="26"/>
        </w:rPr>
        <w:t xml:space="preserve">Предложение Участника </w:t>
      </w:r>
      <w:r>
        <w:rPr>
          <w:b/>
          <w:bCs/>
          <w:i/>
          <w:iCs/>
          <w:sz w:val="26"/>
          <w:szCs w:val="26"/>
          <w:lang w:eastAsia="en-US"/>
        </w:rPr>
        <w:t>ООО ПК "Кадастровое дело"  г. Владивосток (лот № 1, лот № 2)</w:t>
      </w:r>
      <w:r>
        <w:rPr>
          <w:sz w:val="26"/>
          <w:szCs w:val="26"/>
        </w:rPr>
        <w:t xml:space="preserve"> содержит достаточные для отклонения причины, заключающиеся в несоответствии предложения требованиям Закупочной документации, а именно </w:t>
      </w:r>
      <w:r>
        <w:rPr>
          <w:bCs/>
          <w:sz w:val="26"/>
          <w:szCs w:val="26"/>
        </w:rPr>
        <w:t xml:space="preserve">- не </w:t>
      </w:r>
      <w:r>
        <w:rPr>
          <w:bCs/>
          <w:sz w:val="26"/>
          <w:szCs w:val="26"/>
        </w:rPr>
        <w:lastRenderedPageBreak/>
        <w:t xml:space="preserve">представлена справка о выполнении аналогичных по характеру и объему работ (услуг) договоров (п. 4.1.16. </w:t>
      </w:r>
      <w:proofErr w:type="spellStart"/>
      <w:r>
        <w:rPr>
          <w:bCs/>
          <w:sz w:val="26"/>
          <w:szCs w:val="26"/>
        </w:rPr>
        <w:t>п.п</w:t>
      </w:r>
      <w:proofErr w:type="spellEnd"/>
      <w:r>
        <w:rPr>
          <w:bCs/>
          <w:sz w:val="26"/>
          <w:szCs w:val="26"/>
        </w:rPr>
        <w:t xml:space="preserve">. 10.1 ЗД);  </w:t>
      </w:r>
      <w:proofErr w:type="gramStart"/>
      <w:r>
        <w:rPr>
          <w:bCs/>
          <w:sz w:val="26"/>
          <w:szCs w:val="26"/>
        </w:rPr>
        <w:t xml:space="preserve">не представлена справка о материально-технических ресурсах, которые будут использованы в рамках выполнения Договора, с приложением копий документов подтверждающих поверку приборов (действующих на момент подачи документов) (п. 4.1.16 ЗД </w:t>
      </w:r>
      <w:proofErr w:type="spellStart"/>
      <w:r>
        <w:rPr>
          <w:bCs/>
          <w:sz w:val="26"/>
          <w:szCs w:val="26"/>
        </w:rPr>
        <w:t>п.п</w:t>
      </w:r>
      <w:proofErr w:type="spellEnd"/>
      <w:r>
        <w:rPr>
          <w:bCs/>
          <w:sz w:val="26"/>
          <w:szCs w:val="26"/>
        </w:rPr>
        <w:t>. 10.2 ЗД и п. 3.2.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 xml:space="preserve">ТЗ);  не представлена справка о кадровых ресурсах, которые будут привлечены в ходе выполнения Договора (п. 4.1.16 ЗД </w:t>
      </w:r>
      <w:proofErr w:type="spellStart"/>
      <w:r>
        <w:rPr>
          <w:bCs/>
          <w:sz w:val="26"/>
          <w:szCs w:val="26"/>
        </w:rPr>
        <w:t>п.п</w:t>
      </w:r>
      <w:proofErr w:type="spellEnd"/>
      <w:r>
        <w:rPr>
          <w:bCs/>
          <w:sz w:val="26"/>
          <w:szCs w:val="26"/>
        </w:rPr>
        <w:t>. 10.3 ЗД);</w:t>
      </w:r>
      <w:proofErr w:type="gramEnd"/>
      <w:r>
        <w:rPr>
          <w:bCs/>
          <w:sz w:val="26"/>
          <w:szCs w:val="26"/>
        </w:rPr>
        <w:t xml:space="preserve">  </w:t>
      </w:r>
      <w:proofErr w:type="gramStart"/>
      <w:r>
        <w:rPr>
          <w:bCs/>
          <w:sz w:val="26"/>
          <w:szCs w:val="26"/>
        </w:rPr>
        <w:t xml:space="preserve">не представлено свидетельство о постановке на налоговый учет (п. 4.1.16 ЗД </w:t>
      </w:r>
      <w:proofErr w:type="spellStart"/>
      <w:r>
        <w:rPr>
          <w:bCs/>
          <w:sz w:val="26"/>
          <w:szCs w:val="26"/>
        </w:rPr>
        <w:t>п.п</w:t>
      </w:r>
      <w:proofErr w:type="spellEnd"/>
      <w:r>
        <w:rPr>
          <w:bCs/>
          <w:sz w:val="26"/>
          <w:szCs w:val="26"/>
        </w:rPr>
        <w:t xml:space="preserve">. 10.7), копия устава (п. 4.1.16 ЗД </w:t>
      </w:r>
      <w:proofErr w:type="spellStart"/>
      <w:r>
        <w:rPr>
          <w:bCs/>
          <w:sz w:val="26"/>
          <w:szCs w:val="26"/>
        </w:rPr>
        <w:t>п.п</w:t>
      </w:r>
      <w:proofErr w:type="spellEnd"/>
      <w:r>
        <w:rPr>
          <w:bCs/>
          <w:sz w:val="26"/>
          <w:szCs w:val="26"/>
        </w:rPr>
        <w:t xml:space="preserve">. 10.9.) не представлены документы, подтверждающие полномочия лица, подписавшего предложение (п.4.1.16 ЗД </w:t>
      </w:r>
      <w:proofErr w:type="spellStart"/>
      <w:r>
        <w:rPr>
          <w:bCs/>
          <w:sz w:val="26"/>
          <w:szCs w:val="26"/>
        </w:rPr>
        <w:t>п.п</w:t>
      </w:r>
      <w:proofErr w:type="spellEnd"/>
      <w:r>
        <w:rPr>
          <w:bCs/>
          <w:sz w:val="26"/>
          <w:szCs w:val="26"/>
        </w:rPr>
        <w:t xml:space="preserve">. 10.10.), копии балансов (п. 4.1.16 ЗД </w:t>
      </w:r>
      <w:proofErr w:type="spellStart"/>
      <w:r>
        <w:rPr>
          <w:bCs/>
          <w:sz w:val="26"/>
          <w:szCs w:val="26"/>
        </w:rPr>
        <w:t>п.п</w:t>
      </w:r>
      <w:proofErr w:type="spellEnd"/>
      <w:r>
        <w:rPr>
          <w:bCs/>
          <w:sz w:val="26"/>
          <w:szCs w:val="26"/>
        </w:rPr>
        <w:t xml:space="preserve">. 10.11.);  не представлено свидетельство СРО (п. 4.1.16 ЗД </w:t>
      </w:r>
      <w:proofErr w:type="spellStart"/>
      <w:r>
        <w:rPr>
          <w:bCs/>
          <w:sz w:val="26"/>
          <w:szCs w:val="26"/>
        </w:rPr>
        <w:t>п.п</w:t>
      </w:r>
      <w:proofErr w:type="spellEnd"/>
      <w:r>
        <w:rPr>
          <w:bCs/>
          <w:sz w:val="26"/>
          <w:szCs w:val="26"/>
        </w:rPr>
        <w:t>. 10.6.), в соответствии с требованиями 3.1.</w:t>
      </w:r>
      <w:proofErr w:type="gramEnd"/>
      <w:r>
        <w:rPr>
          <w:bCs/>
          <w:sz w:val="26"/>
          <w:szCs w:val="26"/>
        </w:rPr>
        <w:t xml:space="preserve"> Технического задания.</w:t>
      </w:r>
    </w:p>
    <w:p w:rsidR="007D162A" w:rsidRDefault="007D162A" w:rsidP="007D162A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Предлагается отклонить данное предложение от дальнейшего рассмотрения.</w:t>
      </w:r>
    </w:p>
    <w:p w:rsidR="007D162A" w:rsidRDefault="007D162A" w:rsidP="007D162A">
      <w:pPr>
        <w:spacing w:line="240" w:lineRule="auto"/>
        <w:ind w:firstLine="709"/>
        <w:rPr>
          <w:sz w:val="26"/>
          <w:szCs w:val="26"/>
        </w:rPr>
      </w:pPr>
    </w:p>
    <w:p w:rsidR="007D162A" w:rsidRDefault="007D162A" w:rsidP="007D162A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3 «О признании предложений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7D162A" w:rsidRDefault="007D162A" w:rsidP="007D162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7D162A" w:rsidRDefault="007D162A" w:rsidP="007D162A">
      <w:pPr>
        <w:spacing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Предложения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«Землемер» </w:t>
      </w:r>
      <w:r>
        <w:rPr>
          <w:b/>
          <w:bCs/>
          <w:i/>
          <w:iCs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г. Уссурийск (лот № 1, лот № 2),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«РосГСК» </w:t>
      </w:r>
      <w:r>
        <w:rPr>
          <w:rFonts w:eastAsia="Calibri"/>
          <w:sz w:val="26"/>
          <w:szCs w:val="26"/>
          <w:lang w:eastAsia="en-US"/>
        </w:rPr>
        <w:t>г. Владивосток (лот № 1, лот № 2)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7D162A" w:rsidRDefault="007D162A" w:rsidP="007D162A">
      <w:pPr>
        <w:spacing w:line="240" w:lineRule="auto"/>
        <w:rPr>
          <w:sz w:val="26"/>
          <w:szCs w:val="26"/>
        </w:rPr>
      </w:pPr>
    </w:p>
    <w:p w:rsidR="007D162A" w:rsidRDefault="007D162A" w:rsidP="007D162A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4 «О </w:t>
      </w:r>
      <w:proofErr w:type="gramStart"/>
      <w:r>
        <w:rPr>
          <w:b/>
          <w:bCs/>
          <w:i/>
          <w:iCs/>
          <w:sz w:val="26"/>
          <w:szCs w:val="26"/>
        </w:rPr>
        <w:t>предварительной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предложений»</w:t>
      </w:r>
    </w:p>
    <w:p w:rsidR="007D162A" w:rsidRDefault="007D162A" w:rsidP="007D162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7D162A" w:rsidRDefault="007D162A" w:rsidP="007D162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86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18"/>
        <w:gridCol w:w="1482"/>
        <w:gridCol w:w="1290"/>
        <w:gridCol w:w="1823"/>
      </w:tblGrid>
      <w:tr w:rsidR="007D162A" w:rsidRPr="007D162A" w:rsidTr="007D162A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62A" w:rsidRPr="007D162A" w:rsidRDefault="007D162A">
            <w:pPr>
              <w:spacing w:line="240" w:lineRule="auto"/>
              <w:ind w:firstLine="0"/>
              <w:jc w:val="center"/>
              <w:rPr>
                <w:i/>
                <w:sz w:val="14"/>
                <w:szCs w:val="18"/>
              </w:rPr>
            </w:pPr>
            <w:r w:rsidRPr="007D162A">
              <w:rPr>
                <w:i/>
                <w:sz w:val="14"/>
                <w:szCs w:val="18"/>
              </w:rPr>
              <w:t>Наименование участников</w:t>
            </w:r>
          </w:p>
        </w:tc>
        <w:tc>
          <w:tcPr>
            <w:tcW w:w="7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2A" w:rsidRPr="007D162A" w:rsidRDefault="007D162A">
            <w:pPr>
              <w:spacing w:line="240" w:lineRule="auto"/>
              <w:ind w:firstLine="0"/>
              <w:jc w:val="center"/>
              <w:rPr>
                <w:i/>
                <w:sz w:val="14"/>
                <w:szCs w:val="18"/>
              </w:rPr>
            </w:pPr>
            <w:r w:rsidRPr="007D162A">
              <w:rPr>
                <w:i/>
                <w:sz w:val="14"/>
                <w:szCs w:val="18"/>
              </w:rPr>
              <w:t>Цена предложения за единицу, руб. без НДС</w:t>
            </w:r>
          </w:p>
        </w:tc>
        <w:tc>
          <w:tcPr>
            <w:tcW w:w="6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2A" w:rsidRPr="007D162A" w:rsidRDefault="007D162A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4"/>
                <w:szCs w:val="18"/>
              </w:rPr>
            </w:pPr>
            <w:r w:rsidRPr="007D162A">
              <w:rPr>
                <w:i/>
                <w:sz w:val="14"/>
                <w:szCs w:val="18"/>
              </w:rPr>
              <w:t xml:space="preserve">Место в </w:t>
            </w:r>
            <w:proofErr w:type="gramStart"/>
            <w:r w:rsidRPr="007D162A">
              <w:rPr>
                <w:i/>
                <w:sz w:val="14"/>
                <w:szCs w:val="18"/>
              </w:rPr>
              <w:t>предварительной</w:t>
            </w:r>
            <w:proofErr w:type="gramEnd"/>
            <w:r w:rsidRPr="007D162A">
              <w:rPr>
                <w:i/>
                <w:sz w:val="14"/>
                <w:szCs w:val="18"/>
              </w:rPr>
              <w:t xml:space="preserve"> </w:t>
            </w:r>
            <w:proofErr w:type="spellStart"/>
            <w:r w:rsidRPr="007D162A">
              <w:rPr>
                <w:i/>
                <w:sz w:val="14"/>
                <w:szCs w:val="18"/>
              </w:rPr>
              <w:t>ранжировке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D162A" w:rsidRPr="007D162A" w:rsidRDefault="007D162A">
            <w:pPr>
              <w:spacing w:line="240" w:lineRule="auto"/>
              <w:ind w:firstLine="0"/>
              <w:jc w:val="center"/>
              <w:rPr>
                <w:i/>
                <w:sz w:val="14"/>
                <w:szCs w:val="18"/>
              </w:rPr>
            </w:pPr>
            <w:proofErr w:type="gramStart"/>
            <w:r w:rsidRPr="007D162A">
              <w:rPr>
                <w:i/>
                <w:sz w:val="14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7D162A" w:rsidRPr="007D162A" w:rsidRDefault="007D162A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4"/>
                <w:szCs w:val="18"/>
              </w:rPr>
            </w:pPr>
            <w:r w:rsidRPr="007D162A">
              <w:rPr>
                <w:i/>
                <w:sz w:val="14"/>
                <w:szCs w:val="18"/>
              </w:rPr>
              <w:t>от 3до 5)</w:t>
            </w:r>
          </w:p>
        </w:tc>
      </w:tr>
      <w:tr w:rsidR="007D162A" w:rsidTr="007D162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D162A" w:rsidRPr="007D162A" w:rsidRDefault="007D162A">
            <w:pPr>
              <w:spacing w:line="240" w:lineRule="auto"/>
              <w:ind w:firstLine="0"/>
              <w:jc w:val="center"/>
              <w:rPr>
                <w:i/>
                <w:sz w:val="22"/>
                <w:szCs w:val="18"/>
              </w:rPr>
            </w:pPr>
            <w:r w:rsidRPr="007D162A">
              <w:rPr>
                <w:b/>
                <w:bCs/>
                <w:i/>
                <w:iCs/>
                <w:w w:val="110"/>
                <w:sz w:val="22"/>
              </w:rPr>
              <w:t>лот № 1 «Оформление документов о правах на земельные участки по объектам ТП до 15 кВт»</w:t>
            </w:r>
          </w:p>
        </w:tc>
      </w:tr>
      <w:tr w:rsidR="007D162A" w:rsidTr="007D162A">
        <w:tc>
          <w:tcPr>
            <w:tcW w:w="25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62A" w:rsidRPr="007D162A" w:rsidRDefault="007D162A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7D162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«Землемер»</w:t>
            </w:r>
          </w:p>
          <w:p w:rsidR="007D162A" w:rsidRPr="007D162A" w:rsidRDefault="007D162A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lang w:eastAsia="en-US"/>
              </w:rPr>
            </w:pPr>
            <w:r w:rsidRPr="007D162A">
              <w:rPr>
                <w:rFonts w:eastAsia="Calibri"/>
                <w:sz w:val="22"/>
                <w:szCs w:val="22"/>
                <w:lang w:eastAsia="en-US"/>
              </w:rPr>
              <w:t>г. Уссурийск, ул. Володарского, 86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62A" w:rsidRPr="007D162A" w:rsidRDefault="007D162A">
            <w:pPr>
              <w:snapToGrid w:val="0"/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7D162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58 549,80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62A" w:rsidRPr="007D162A" w:rsidRDefault="007D16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D162A"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D162A" w:rsidRPr="007D162A" w:rsidRDefault="007D16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D162A">
              <w:rPr>
                <w:b/>
                <w:bCs/>
                <w:i/>
                <w:sz w:val="22"/>
                <w:szCs w:val="22"/>
              </w:rPr>
              <w:t>3,00</w:t>
            </w:r>
          </w:p>
        </w:tc>
      </w:tr>
      <w:tr w:rsidR="007D162A" w:rsidTr="007D162A">
        <w:tc>
          <w:tcPr>
            <w:tcW w:w="25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62A" w:rsidRPr="007D162A" w:rsidRDefault="007D162A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7D162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«РосГСК»</w:t>
            </w:r>
          </w:p>
          <w:p w:rsidR="007D162A" w:rsidRPr="007D162A" w:rsidRDefault="007D162A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lang w:eastAsia="en-US"/>
              </w:rPr>
            </w:pPr>
            <w:r w:rsidRPr="007D162A">
              <w:rPr>
                <w:rFonts w:eastAsia="Calibri"/>
                <w:sz w:val="22"/>
                <w:szCs w:val="22"/>
                <w:lang w:eastAsia="en-US"/>
              </w:rPr>
              <w:t>г. Владивосток, ул. Калинина, 49 «А»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62A" w:rsidRPr="007D162A" w:rsidRDefault="007D16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D162A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63 607,20 </w:t>
            </w:r>
            <w:r w:rsidRPr="007D16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62A" w:rsidRPr="007D162A" w:rsidRDefault="007D16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D162A"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D162A" w:rsidRPr="007D162A" w:rsidRDefault="007D16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D162A">
              <w:rPr>
                <w:b/>
                <w:bCs/>
                <w:i/>
                <w:sz w:val="22"/>
                <w:szCs w:val="22"/>
              </w:rPr>
              <w:t>3,00</w:t>
            </w:r>
          </w:p>
        </w:tc>
      </w:tr>
      <w:tr w:rsidR="007D162A" w:rsidTr="007D162A">
        <w:tc>
          <w:tcPr>
            <w:tcW w:w="50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D162A" w:rsidRPr="007D162A" w:rsidRDefault="007D16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D162A">
              <w:rPr>
                <w:b/>
                <w:bCs/>
                <w:i/>
                <w:iCs/>
                <w:w w:val="110"/>
                <w:sz w:val="22"/>
              </w:rPr>
              <w:t>лот № 2  «Оформление документов о правах на земельные участки по объектам ТП до 150 кВт</w:t>
            </w:r>
          </w:p>
        </w:tc>
      </w:tr>
      <w:tr w:rsidR="007D162A" w:rsidTr="007D162A">
        <w:trPr>
          <w:trHeight w:val="424"/>
        </w:trPr>
        <w:tc>
          <w:tcPr>
            <w:tcW w:w="25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62A" w:rsidRPr="007D162A" w:rsidRDefault="007D162A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7D162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«Землемер»</w:t>
            </w:r>
          </w:p>
          <w:p w:rsidR="007D162A" w:rsidRPr="007D162A" w:rsidRDefault="007D162A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lang w:eastAsia="en-US"/>
              </w:rPr>
            </w:pPr>
            <w:r w:rsidRPr="007D162A">
              <w:rPr>
                <w:rFonts w:eastAsia="Calibri"/>
                <w:sz w:val="22"/>
                <w:szCs w:val="22"/>
                <w:lang w:eastAsia="en-US"/>
              </w:rPr>
              <w:t>г. Уссурийск, ул. Володарского, 86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62A" w:rsidRPr="007D162A" w:rsidRDefault="007D162A">
            <w:pPr>
              <w:snapToGrid w:val="0"/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7D162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58 549,80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62A" w:rsidRPr="007D162A" w:rsidRDefault="007D16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D162A"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D162A" w:rsidRPr="007D162A" w:rsidRDefault="007D16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D162A">
              <w:rPr>
                <w:b/>
                <w:bCs/>
                <w:i/>
                <w:sz w:val="22"/>
                <w:szCs w:val="22"/>
              </w:rPr>
              <w:t>3,00</w:t>
            </w:r>
          </w:p>
        </w:tc>
      </w:tr>
      <w:tr w:rsidR="007D162A" w:rsidTr="007D162A">
        <w:tc>
          <w:tcPr>
            <w:tcW w:w="25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62A" w:rsidRPr="007D162A" w:rsidRDefault="007D162A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7D162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«РосГСК»</w:t>
            </w:r>
          </w:p>
          <w:p w:rsidR="007D162A" w:rsidRPr="007D162A" w:rsidRDefault="007D162A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lang w:eastAsia="en-US"/>
              </w:rPr>
            </w:pPr>
            <w:r w:rsidRPr="007D162A">
              <w:rPr>
                <w:rFonts w:eastAsia="Calibri"/>
                <w:sz w:val="22"/>
                <w:szCs w:val="22"/>
                <w:lang w:eastAsia="en-US"/>
              </w:rPr>
              <w:t>г. Владивосток, ул. Калинина, 49 «А»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62A" w:rsidRPr="007D162A" w:rsidRDefault="007D16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D162A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63 607,20 </w:t>
            </w:r>
            <w:r w:rsidRPr="007D16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62A" w:rsidRPr="007D162A" w:rsidRDefault="007D16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D162A"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D162A" w:rsidRPr="007D162A" w:rsidRDefault="007D16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D162A">
              <w:rPr>
                <w:b/>
                <w:bCs/>
                <w:i/>
                <w:sz w:val="22"/>
                <w:szCs w:val="22"/>
              </w:rPr>
              <w:t>3,00</w:t>
            </w:r>
          </w:p>
        </w:tc>
      </w:tr>
    </w:tbl>
    <w:p w:rsidR="007D162A" w:rsidRDefault="007D162A" w:rsidP="007D162A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5 «О проведении переторжки»</w:t>
      </w:r>
    </w:p>
    <w:p w:rsidR="007D162A" w:rsidRDefault="007D162A" w:rsidP="007D162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7D162A" w:rsidRDefault="007D162A" w:rsidP="007D162A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proofErr w:type="gramStart"/>
      <w:r>
        <w:rPr>
          <w:sz w:val="26"/>
          <w:szCs w:val="26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>
        <w:rPr>
          <w:sz w:val="26"/>
          <w:szCs w:val="26"/>
        </w:rPr>
        <w:t xml:space="preserve"> переторжки. </w:t>
      </w:r>
    </w:p>
    <w:p w:rsidR="007D162A" w:rsidRDefault="007D162A" w:rsidP="007D162A">
      <w:pPr>
        <w:spacing w:line="240" w:lineRule="auto"/>
        <w:rPr>
          <w:snapToGrid/>
          <w:sz w:val="26"/>
          <w:szCs w:val="26"/>
        </w:rPr>
      </w:pPr>
    </w:p>
    <w:p w:rsidR="007D162A" w:rsidRDefault="007D162A" w:rsidP="007D162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D162A" w:rsidRDefault="007D162A" w:rsidP="007D162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Отклонить предложения</w:t>
      </w:r>
      <w:r>
        <w:rPr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Участников </w:t>
      </w:r>
      <w:r>
        <w:rPr>
          <w:b/>
          <w:bCs/>
          <w:i/>
          <w:iCs/>
          <w:sz w:val="26"/>
          <w:szCs w:val="26"/>
        </w:rPr>
        <w:t>ООО "</w:t>
      </w:r>
      <w:proofErr w:type="spellStart"/>
      <w:r>
        <w:rPr>
          <w:b/>
          <w:bCs/>
          <w:i/>
          <w:iCs/>
          <w:sz w:val="26"/>
          <w:szCs w:val="26"/>
        </w:rPr>
        <w:t>Владинжиниринг</w:t>
      </w:r>
      <w:proofErr w:type="spellEnd"/>
      <w:r>
        <w:rPr>
          <w:b/>
          <w:bCs/>
          <w:i/>
          <w:iCs/>
          <w:sz w:val="26"/>
          <w:szCs w:val="26"/>
        </w:rPr>
        <w:t xml:space="preserve">"  г. Владивосток (лот 1, лот 2) </w:t>
      </w:r>
      <w:r>
        <w:rPr>
          <w:sz w:val="26"/>
          <w:szCs w:val="26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  <w:r>
        <w:rPr>
          <w:rFonts w:eastAsia="Calibri"/>
          <w:sz w:val="26"/>
          <w:szCs w:val="26"/>
          <w:lang w:eastAsia="en-US"/>
        </w:rPr>
        <w:t>.</w:t>
      </w:r>
      <w:r>
        <w:rPr>
          <w:sz w:val="26"/>
          <w:szCs w:val="26"/>
        </w:rPr>
        <w:t xml:space="preserve"> </w:t>
      </w:r>
    </w:p>
    <w:p w:rsidR="007D162A" w:rsidRDefault="007D162A" w:rsidP="007D162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Отклонить предложения</w:t>
      </w:r>
      <w:r>
        <w:rPr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Участников </w:t>
      </w:r>
      <w:r>
        <w:rPr>
          <w:b/>
          <w:bCs/>
          <w:i/>
          <w:iCs/>
          <w:sz w:val="26"/>
          <w:szCs w:val="26"/>
        </w:rPr>
        <w:t xml:space="preserve">ООО ПК "Кадастровое дело"  (лот 1, лот 2) </w:t>
      </w:r>
      <w:r>
        <w:rPr>
          <w:sz w:val="26"/>
          <w:szCs w:val="26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</w:p>
    <w:p w:rsidR="007D162A" w:rsidRDefault="007D162A" w:rsidP="007D162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Признать предложения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«Землемер» </w:t>
      </w:r>
      <w:r>
        <w:rPr>
          <w:b/>
          <w:bCs/>
          <w:i/>
          <w:iCs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г. Уссурийск (лот № 1, лот № 2),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«РосГСК» </w:t>
      </w:r>
      <w:r>
        <w:rPr>
          <w:rFonts w:eastAsia="Calibri"/>
          <w:sz w:val="26"/>
          <w:szCs w:val="26"/>
          <w:lang w:eastAsia="en-US"/>
        </w:rPr>
        <w:t>г. Владивосток (лот № 1, лот № 2)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  </w:t>
      </w:r>
      <w:r>
        <w:rPr>
          <w:sz w:val="26"/>
          <w:szCs w:val="26"/>
        </w:rPr>
        <w:t>соответствующими условиям закупки.</w:t>
      </w:r>
    </w:p>
    <w:p w:rsidR="007D162A" w:rsidRDefault="007D162A" w:rsidP="007D162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Участников.</w:t>
      </w:r>
    </w:p>
    <w:p w:rsidR="007D162A" w:rsidRDefault="007D162A" w:rsidP="007D162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b/>
          <w:sz w:val="26"/>
          <w:szCs w:val="26"/>
        </w:rPr>
        <w:t>Провести переторжку</w:t>
      </w:r>
      <w:r>
        <w:rPr>
          <w:sz w:val="26"/>
          <w:szCs w:val="26"/>
        </w:rPr>
        <w:t>.</w:t>
      </w:r>
    </w:p>
    <w:p w:rsidR="007D162A" w:rsidRDefault="007D162A" w:rsidP="007D162A">
      <w:pPr>
        <w:spacing w:line="240" w:lineRule="auto"/>
        <w:ind w:firstLine="35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Пригласить к участию в переторжке участников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«Землемер» </w:t>
      </w:r>
      <w:r>
        <w:rPr>
          <w:b/>
          <w:bCs/>
          <w:i/>
          <w:iCs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г. Уссурийск (лот № 1, лот № 2),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«РосГСК» </w:t>
      </w:r>
      <w:r>
        <w:rPr>
          <w:rFonts w:eastAsia="Calibri"/>
          <w:sz w:val="26"/>
          <w:szCs w:val="26"/>
          <w:lang w:eastAsia="en-US"/>
        </w:rPr>
        <w:t>г. Владивосток (лот № 1, лот № 2)</w:t>
      </w:r>
    </w:p>
    <w:p w:rsidR="007D162A" w:rsidRDefault="007D162A" w:rsidP="007D162A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7D162A" w:rsidRDefault="007D162A" w:rsidP="007D162A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Назначить переторжку на 05.12.2014 в 11:00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7D162A" w:rsidRDefault="007D162A" w:rsidP="007D162A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ОАО «ДРСК» Благовещенск, ул. Шевченко 28,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244</w:t>
      </w:r>
    </w:p>
    <w:p w:rsidR="007D162A" w:rsidRDefault="007D162A" w:rsidP="007D162A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7D162A" w:rsidRDefault="007D162A" w:rsidP="007D162A">
      <w:pPr>
        <w:tabs>
          <w:tab w:val="left" w:pos="5940"/>
        </w:tabs>
        <w:spacing w:line="240" w:lineRule="auto"/>
        <w:rPr>
          <w:spacing w:val="4"/>
          <w:sz w:val="22"/>
          <w:szCs w:val="22"/>
        </w:rPr>
      </w:pP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Pr="00211928" w:rsidRDefault="00F3134E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A66630">
      <w:headerReference w:type="default" r:id="rId10"/>
      <w:footerReference w:type="default" r:id="rId11"/>
      <w:pgSz w:w="11906" w:h="16838"/>
      <w:pgMar w:top="992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F5" w:rsidRDefault="000944F5" w:rsidP="00355095">
      <w:pPr>
        <w:spacing w:line="240" w:lineRule="auto"/>
      </w:pPr>
      <w:r>
        <w:separator/>
      </w:r>
    </w:p>
  </w:endnote>
  <w:endnote w:type="continuationSeparator" w:id="0">
    <w:p w:rsidR="000944F5" w:rsidRDefault="000944F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23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232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F5" w:rsidRDefault="000944F5" w:rsidP="00355095">
      <w:pPr>
        <w:spacing w:line="240" w:lineRule="auto"/>
      </w:pPr>
      <w:r>
        <w:separator/>
      </w:r>
    </w:p>
  </w:footnote>
  <w:footnote w:type="continuationSeparator" w:id="0">
    <w:p w:rsidR="000944F5" w:rsidRDefault="000944F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D162A">
      <w:rPr>
        <w:i/>
        <w:sz w:val="20"/>
      </w:rPr>
      <w:t>2636,2637</w:t>
    </w:r>
    <w:r w:rsidR="009F58BC">
      <w:rPr>
        <w:i/>
        <w:sz w:val="20"/>
      </w:rPr>
      <w:t xml:space="preserve">  раздел</w:t>
    </w:r>
    <w:r w:rsidR="00933F91">
      <w:rPr>
        <w:i/>
        <w:sz w:val="20"/>
      </w:rPr>
      <w:t xml:space="preserve"> </w:t>
    </w:r>
    <w:r w:rsidR="00A66630">
      <w:rPr>
        <w:i/>
        <w:sz w:val="20"/>
      </w:rPr>
      <w:t>2.</w:t>
    </w:r>
    <w:r w:rsidR="004B1AD5">
      <w:rPr>
        <w:i/>
        <w:sz w:val="20"/>
      </w:rPr>
      <w:t>1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A4816"/>
    <w:rsid w:val="004A606C"/>
    <w:rsid w:val="004B1AD5"/>
    <w:rsid w:val="004B69F5"/>
    <w:rsid w:val="004C1EA3"/>
    <w:rsid w:val="004D1A37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62A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26E0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F8563-0EC8-40B4-8B1F-EF35C54E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14</cp:revision>
  <cp:lastPrinted>2014-12-01T01:13:00Z</cp:lastPrinted>
  <dcterms:created xsi:type="dcterms:W3CDTF">2013-12-09T06:10:00Z</dcterms:created>
  <dcterms:modified xsi:type="dcterms:W3CDTF">2014-12-01T06:01:00Z</dcterms:modified>
</cp:coreProperties>
</file>