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9349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9349A">
              <w:rPr>
                <w:b/>
                <w:szCs w:val="28"/>
              </w:rPr>
              <w:t>467</w:t>
            </w:r>
            <w:r w:rsidR="00963F9D">
              <w:rPr>
                <w:b/>
                <w:szCs w:val="28"/>
              </w:rPr>
              <w:t>/</w:t>
            </w:r>
            <w:r w:rsidR="00F9349A">
              <w:rPr>
                <w:b/>
                <w:szCs w:val="28"/>
              </w:rPr>
              <w:t>ОСУ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9349A" w:rsidP="00F9349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</w:t>
            </w:r>
            <w:r w:rsidR="005E0088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9349A" w:rsidRPr="00F9349A" w:rsidRDefault="00F9349A" w:rsidP="00F9349A">
      <w:pPr>
        <w:pStyle w:val="a4"/>
        <w:tabs>
          <w:tab w:val="left" w:pos="708"/>
        </w:tabs>
        <w:spacing w:before="0" w:line="240" w:lineRule="auto"/>
        <w:ind w:firstLine="567"/>
        <w:rPr>
          <w:bCs/>
          <w:iCs/>
          <w:sz w:val="24"/>
        </w:rPr>
      </w:pPr>
      <w:r w:rsidRPr="00F9349A">
        <w:rPr>
          <w:sz w:val="24"/>
        </w:rPr>
        <w:t xml:space="preserve">Способ и предмет закупки: Открытый запрос предложений:  </w:t>
      </w:r>
      <w:r w:rsidRPr="00F9349A">
        <w:rPr>
          <w:b/>
          <w:bCs/>
          <w:i/>
          <w:iCs/>
          <w:w w:val="110"/>
          <w:sz w:val="24"/>
        </w:rPr>
        <w:t>«Услуги по организации и проведению закупочных процедур для нужд ОАО «ДРСК» по правилам закупок ЕБРР»</w:t>
      </w:r>
    </w:p>
    <w:p w:rsidR="00F9349A" w:rsidRPr="00F9349A" w:rsidRDefault="00F9349A" w:rsidP="00F9349A">
      <w:pPr>
        <w:spacing w:line="240" w:lineRule="auto"/>
        <w:rPr>
          <w:sz w:val="24"/>
          <w:szCs w:val="24"/>
        </w:rPr>
      </w:pPr>
      <w:r w:rsidRPr="00F9349A">
        <w:rPr>
          <w:sz w:val="24"/>
          <w:szCs w:val="24"/>
        </w:rPr>
        <w:t>Закупка проводится согласно ГКПЗ 2014г. раздела  9 «Общесистемные услуги»  № 2120  на основании указания ОАО «ДРСК» от  08.08.2014 г. № 193</w:t>
      </w:r>
    </w:p>
    <w:p w:rsidR="005E0088" w:rsidRPr="00F9349A" w:rsidRDefault="005E0088" w:rsidP="005E0088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F9349A">
        <w:rPr>
          <w:sz w:val="24"/>
        </w:rPr>
        <w:t>Форма голосования членов Закупочной комиссии: очно-заочная.</w:t>
      </w:r>
    </w:p>
    <w:p w:rsidR="005E0088" w:rsidRPr="005E0088" w:rsidRDefault="005E0088" w:rsidP="005E0088">
      <w:pPr>
        <w:pStyle w:val="a4"/>
        <w:spacing w:before="0" w:line="240" w:lineRule="auto"/>
        <w:ind w:firstLine="567"/>
        <w:rPr>
          <w:b/>
          <w:sz w:val="22"/>
        </w:rPr>
      </w:pPr>
    </w:p>
    <w:p w:rsidR="00791CB7" w:rsidRDefault="009F683E" w:rsidP="005E0088">
      <w:pPr>
        <w:pStyle w:val="a4"/>
        <w:spacing w:before="0" w:line="240" w:lineRule="auto"/>
        <w:ind w:firstLine="567"/>
        <w:rPr>
          <w:sz w:val="22"/>
        </w:rPr>
      </w:pPr>
      <w:r w:rsidRPr="005E0088">
        <w:rPr>
          <w:b/>
          <w:sz w:val="22"/>
        </w:rPr>
        <w:t>ПРИСУТСТВОВАЛИ:</w:t>
      </w:r>
      <w:r w:rsidR="00791CB7" w:rsidRPr="005E0088">
        <w:rPr>
          <w:b/>
          <w:sz w:val="22"/>
        </w:rPr>
        <w:t xml:space="preserve"> </w:t>
      </w:r>
      <w:r w:rsidR="000C02F6" w:rsidRPr="005E0088">
        <w:rPr>
          <w:sz w:val="22"/>
        </w:rPr>
        <w:t>два</w:t>
      </w:r>
      <w:r w:rsidR="00E11945" w:rsidRPr="005E0088">
        <w:rPr>
          <w:sz w:val="22"/>
        </w:rPr>
        <w:t xml:space="preserve"> </w:t>
      </w:r>
      <w:r w:rsidR="00791CB7" w:rsidRPr="005E0088">
        <w:rPr>
          <w:sz w:val="22"/>
        </w:rPr>
        <w:t>члена постоянно действующей Закупочной комиссии 2-го уровня</w:t>
      </w:r>
      <w:r w:rsidR="006D53E8" w:rsidRPr="005E0088">
        <w:rPr>
          <w:sz w:val="22"/>
        </w:rPr>
        <w:t>.</w:t>
      </w:r>
      <w:r w:rsidR="008C7E96" w:rsidRPr="005E0088">
        <w:rPr>
          <w:sz w:val="22"/>
        </w:rPr>
        <w:t xml:space="preserve"> </w:t>
      </w:r>
    </w:p>
    <w:p w:rsidR="00F9349A" w:rsidRPr="005E0088" w:rsidRDefault="00F9349A" w:rsidP="005E0088">
      <w:pPr>
        <w:pStyle w:val="a4"/>
        <w:spacing w:before="0" w:line="240" w:lineRule="auto"/>
        <w:ind w:firstLine="567"/>
        <w:rPr>
          <w:sz w:val="22"/>
        </w:rPr>
      </w:pPr>
    </w:p>
    <w:p w:rsidR="009F683E" w:rsidRPr="005E0088" w:rsidRDefault="009F683E" w:rsidP="00F66BD1">
      <w:pPr>
        <w:spacing w:line="240" w:lineRule="auto"/>
        <w:rPr>
          <w:b/>
          <w:sz w:val="22"/>
          <w:szCs w:val="24"/>
        </w:rPr>
      </w:pPr>
      <w:r w:rsidRPr="005E0088">
        <w:rPr>
          <w:b/>
          <w:sz w:val="22"/>
          <w:szCs w:val="24"/>
        </w:rPr>
        <w:t xml:space="preserve">ВОПРОСЫ ЗАСЕДАНИЯ </w:t>
      </w:r>
      <w:r w:rsidR="003E5331" w:rsidRPr="005E0088">
        <w:rPr>
          <w:b/>
          <w:sz w:val="22"/>
          <w:szCs w:val="24"/>
        </w:rPr>
        <w:t>ЗАКУПОЧНОЙ</w:t>
      </w:r>
      <w:r w:rsidRPr="005E0088">
        <w:rPr>
          <w:b/>
          <w:sz w:val="22"/>
          <w:szCs w:val="24"/>
        </w:rPr>
        <w:t xml:space="preserve"> КОМИССИИ:</w:t>
      </w:r>
    </w:p>
    <w:p w:rsidR="00F9349A" w:rsidRPr="00F9349A" w:rsidRDefault="00224BE0" w:rsidP="00F9349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F9349A">
        <w:rPr>
          <w:sz w:val="24"/>
          <w:szCs w:val="24"/>
        </w:rPr>
        <w:t>В адрес Организатора закуп</w:t>
      </w:r>
      <w:bookmarkStart w:id="0" w:name="_GoBack"/>
      <w:bookmarkEnd w:id="0"/>
      <w:r w:rsidRPr="00F9349A">
        <w:rPr>
          <w:sz w:val="24"/>
          <w:szCs w:val="24"/>
        </w:rPr>
        <w:t xml:space="preserve">ки </w:t>
      </w:r>
      <w:r w:rsidR="00F9349A" w:rsidRPr="00F9349A">
        <w:rPr>
          <w:sz w:val="24"/>
          <w:szCs w:val="24"/>
        </w:rPr>
        <w:t xml:space="preserve">не поступило ни одного </w:t>
      </w:r>
      <w:r w:rsidR="00F9349A" w:rsidRPr="00F9349A">
        <w:rPr>
          <w:color w:val="000000" w:themeColor="text1"/>
          <w:sz w:val="24"/>
          <w:szCs w:val="24"/>
        </w:rPr>
        <w:t>предложения</w:t>
      </w:r>
      <w:r w:rsidR="00F9349A" w:rsidRPr="00F9349A">
        <w:rPr>
          <w:sz w:val="24"/>
          <w:szCs w:val="24"/>
        </w:rPr>
        <w:t xml:space="preserve"> на участие в  процедуре переторжки.</w:t>
      </w:r>
    </w:p>
    <w:p w:rsidR="00F9349A" w:rsidRPr="00F9349A" w:rsidRDefault="00F9349A" w:rsidP="00F9349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F9349A">
        <w:rPr>
          <w:sz w:val="24"/>
          <w:szCs w:val="24"/>
        </w:rPr>
        <w:t>Процедура переторжки проходила в заочной форме.</w:t>
      </w:r>
    </w:p>
    <w:p w:rsidR="00F9349A" w:rsidRPr="00F9349A" w:rsidRDefault="00F9349A" w:rsidP="00F9349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F9349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22.09.2014 г </w:t>
      </w:r>
    </w:p>
    <w:p w:rsidR="00F9349A" w:rsidRPr="00F9349A" w:rsidRDefault="00F9349A" w:rsidP="00F9349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F9349A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F9349A">
        <w:rPr>
          <w:sz w:val="24"/>
          <w:szCs w:val="24"/>
        </w:rPr>
        <w:t>каб</w:t>
      </w:r>
      <w:proofErr w:type="spellEnd"/>
      <w:r w:rsidRPr="00F9349A">
        <w:rPr>
          <w:sz w:val="24"/>
          <w:szCs w:val="24"/>
        </w:rPr>
        <w:t>. 244.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1985"/>
      </w:tblGrid>
      <w:tr w:rsidR="00F9349A" w:rsidTr="00F9349A">
        <w:trPr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9349A" w:rsidRDefault="00F9349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9349A" w:rsidRDefault="00F9349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9349A" w:rsidRDefault="00F9349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9349A" w:rsidRDefault="00F9349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цена заявки на участие в запросе предложений (за единицу) </w:t>
            </w:r>
            <w:r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9349A" w:rsidRDefault="00F9349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цена заявки на участие в запросе предложений (за единицу) </w:t>
            </w:r>
            <w:r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F9349A" w:rsidTr="00F9349A">
        <w:trPr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9349A" w:rsidRDefault="00F9349A" w:rsidP="00F9349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9349A" w:rsidRDefault="00F9349A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-Конкурс»</w:t>
            </w:r>
          </w:p>
          <w:p w:rsidR="00F9349A" w:rsidRDefault="00F9349A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г. Москва, Нахимовский пр-т, 52/27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 Размер вознаграждения при ООК без предварительного квалификационного отбора (НДС не облагается):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 до 50 млн. руб. – 2,1% от плановой стоимости лота с учетом НДС, но не менее 466,0 тыс. руб.;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от 50 млн. руб. до 100 млн. руб. (включительно) – 1,25% от плановой стоимости лота с НДС, но не менее 1 050,0 тыс. руб.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Свыше 100 млн. руб. – базовое вознаграждение – 0,47% от плановой стоимости лота с НДС, но не менее 1 250,0 тыс. руб. 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 Размер вознаграждения при ОДК, либо ООК с предварительным квалификационным отбором (НДС не облагается):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 до 50 млн. руб. – 2,68% от плановой стоимости лота с учетом НДС, но не менее 594,0 тыс. руб.;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2. от 50 млн. руб. до 100 млн. руб.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(включительно) – 1,59% от плановой стоимости лота с НДС, но не менее 1 340,0 тыс. руб.</w:t>
            </w:r>
          </w:p>
          <w:p w:rsidR="00F9349A" w:rsidRDefault="00F9349A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Свыше 100 млн. руб. – базовое вознаграждение – 0,60% от плановой стоимости лота с НДС, но не менее 1 250,0 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9349A" w:rsidRDefault="00F9349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не поступило</w:t>
            </w:r>
          </w:p>
        </w:tc>
      </w:tr>
      <w:tr w:rsidR="00F9349A" w:rsidTr="00F9349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9349A" w:rsidRDefault="00F9349A" w:rsidP="00F9349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9349A" w:rsidRDefault="00F9349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«Центр подрядных торгов в строительстве»</w:t>
            </w:r>
          </w:p>
          <w:p w:rsidR="00F9349A" w:rsidRDefault="00F9349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Москва, поселение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Московский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Румянцево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 Размер вознаграждения при ООК без предварительного квалификационного отбора (НДС не облагается):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 до 50 млн. руб. – 2,75% от плановой стоимости лота с учетом НДС, но не менее 550,0 тыс. руб.;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от 50 млн. руб. до 100 млн. руб. (включительно) – 1,6% от плановой стоимости лота с НДС, но не менее 1 375,0 тыс. руб.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3. Свыше 100 млн. руб. – базовое вознаграждение – 0,7% от плановой стоимости лота с НДС, но не менее  1 600,0 тыс. руб. 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. Размер вознаграждения при ОДК, либо ООК с предварительным квалификационным отбором (НДС не облагается):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1.  до 50 млн. руб. – 3,1% от плановой стоимости лота с учетом НДС, но не менее 620,0 тыс. руб.;</w:t>
            </w:r>
          </w:p>
          <w:p w:rsidR="00F9349A" w:rsidRDefault="00F9349A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 от 50 млн. руб. до 100 млн. руб. (включительно) – 2% от плановой стоимости лота с НДС, но не менее 1 550,0 тыс. руб.</w:t>
            </w:r>
          </w:p>
          <w:p w:rsidR="00F9349A" w:rsidRDefault="00F9349A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 Свыше 100 млн. руб. – базовое вознаграждение – 0,9% от плановой стоимости лота с НДС, но не менее 2 000,0 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9349A" w:rsidRDefault="00F9349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ED6771" w:rsidRPr="00F9349A" w:rsidRDefault="00ED6771" w:rsidP="00F9349A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  <w:r w:rsidRPr="00F9349A">
        <w:rPr>
          <w:b/>
          <w:sz w:val="24"/>
          <w:szCs w:val="24"/>
        </w:rPr>
        <w:t>РЕШИЛИ:</w:t>
      </w:r>
    </w:p>
    <w:p w:rsidR="00E2330B" w:rsidRPr="00F9349A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F9349A">
        <w:rPr>
          <w:sz w:val="24"/>
          <w:szCs w:val="24"/>
        </w:rPr>
        <w:t xml:space="preserve">Утвердить протокол </w:t>
      </w:r>
      <w:r w:rsidR="00E32372" w:rsidRPr="00F9349A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9349A">
      <w:headerReference w:type="default" r:id="rId9"/>
      <w:footerReference w:type="default" r:id="rId10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9F" w:rsidRDefault="00717D9F" w:rsidP="00E2330B">
      <w:pPr>
        <w:spacing w:line="240" w:lineRule="auto"/>
      </w:pPr>
      <w:r>
        <w:separator/>
      </w:r>
    </w:p>
  </w:endnote>
  <w:endnote w:type="continuationSeparator" w:id="0">
    <w:p w:rsidR="00717D9F" w:rsidRDefault="00717D9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49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9F" w:rsidRDefault="00717D9F" w:rsidP="00E2330B">
      <w:pPr>
        <w:spacing w:line="240" w:lineRule="auto"/>
      </w:pPr>
      <w:r>
        <w:separator/>
      </w:r>
    </w:p>
  </w:footnote>
  <w:footnote w:type="continuationSeparator" w:id="0">
    <w:p w:rsidR="00717D9F" w:rsidRDefault="00717D9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49A" w:rsidRPr="00F9349A" w:rsidRDefault="00F9349A" w:rsidP="00F9349A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2120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08E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5831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0088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17D9F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113B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49A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22</cp:revision>
  <cp:lastPrinted>2014-09-22T23:26:00Z</cp:lastPrinted>
  <dcterms:created xsi:type="dcterms:W3CDTF">2013-04-19T05:54:00Z</dcterms:created>
  <dcterms:modified xsi:type="dcterms:W3CDTF">2014-09-22T23:26:00Z</dcterms:modified>
</cp:coreProperties>
</file>