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C35537" w:rsidRPr="00791CB7" w:rsidRDefault="00C35537" w:rsidP="00C3553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p w:rsidR="00C35537" w:rsidRPr="00C35537" w:rsidRDefault="00C35537" w:rsidP="00C35537">
      <w:pPr>
        <w:ind w:firstLine="0"/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CF06DA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0F7D36">
              <w:rPr>
                <w:b/>
                <w:szCs w:val="28"/>
              </w:rPr>
              <w:t xml:space="preserve">  370/УР-Р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11362" w:rsidRDefault="000F7D36" w:rsidP="00C411D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июл</w:t>
            </w:r>
            <w:r w:rsidR="0093731F">
              <w:rPr>
                <w:b/>
                <w:szCs w:val="28"/>
              </w:rPr>
              <w:t>я</w:t>
            </w:r>
            <w:r w:rsidR="0037642D" w:rsidRPr="00D11362">
              <w:rPr>
                <w:b/>
                <w:szCs w:val="28"/>
              </w:rPr>
              <w:t xml:space="preserve"> </w:t>
            </w:r>
            <w:r w:rsidR="00C21450" w:rsidRPr="00D11362">
              <w:rPr>
                <w:b/>
                <w:szCs w:val="28"/>
              </w:rPr>
              <w:t xml:space="preserve"> </w:t>
            </w:r>
            <w:r w:rsidR="003E5331" w:rsidRPr="00D11362">
              <w:rPr>
                <w:b/>
                <w:szCs w:val="28"/>
              </w:rPr>
              <w:t>201</w:t>
            </w:r>
            <w:r w:rsidR="00C411DD">
              <w:rPr>
                <w:b/>
                <w:szCs w:val="28"/>
              </w:rPr>
              <w:t>4</w:t>
            </w:r>
            <w:r w:rsidR="003E5331" w:rsidRPr="00D11362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0F7D36" w:rsidRPr="00C81A5A" w:rsidRDefault="000F7D36" w:rsidP="000F7D36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937E04">
        <w:rPr>
          <w:b/>
          <w:sz w:val="24"/>
        </w:rPr>
        <w:t>ПРЕДМЕТ ЗАКУПКИ:</w:t>
      </w:r>
      <w:r w:rsidRPr="00937E04">
        <w:rPr>
          <w:sz w:val="24"/>
        </w:rPr>
        <w:t xml:space="preserve"> </w:t>
      </w:r>
      <w:r w:rsidRPr="000212EA">
        <w:rPr>
          <w:sz w:val="24"/>
        </w:rPr>
        <w:t xml:space="preserve">открытый запрос предложений на </w:t>
      </w:r>
      <w:r w:rsidRPr="005D176D">
        <w:rPr>
          <w:sz w:val="24"/>
        </w:rPr>
        <w:t xml:space="preserve">право заключения Договора на </w:t>
      </w:r>
      <w:r w:rsidRPr="003762B2">
        <w:rPr>
          <w:sz w:val="24"/>
        </w:rPr>
        <w:t xml:space="preserve">выполнение работ для нужд филиала ОАО «ДРСК» </w:t>
      </w:r>
      <w:r w:rsidRPr="00CF4E9C">
        <w:rPr>
          <w:sz w:val="24"/>
          <w:szCs w:val="24"/>
        </w:rPr>
        <w:t>«</w:t>
      </w:r>
      <w:r>
        <w:rPr>
          <w:sz w:val="24"/>
          <w:szCs w:val="24"/>
        </w:rPr>
        <w:t>Э</w:t>
      </w:r>
      <w:r w:rsidRPr="00CF4E9C">
        <w:rPr>
          <w:sz w:val="24"/>
          <w:szCs w:val="24"/>
        </w:rPr>
        <w:t>лектрические сети</w:t>
      </w:r>
      <w:r>
        <w:rPr>
          <w:sz w:val="24"/>
          <w:szCs w:val="24"/>
        </w:rPr>
        <w:t xml:space="preserve"> ЕАО</w:t>
      </w:r>
      <w:r w:rsidRPr="00CF4E9C">
        <w:rPr>
          <w:sz w:val="24"/>
          <w:szCs w:val="24"/>
        </w:rPr>
        <w:t xml:space="preserve">»: </w:t>
      </w:r>
      <w:r w:rsidRPr="00AD1FFF">
        <w:rPr>
          <w:b/>
          <w:bCs/>
          <w:i/>
          <w:sz w:val="26"/>
          <w:szCs w:val="26"/>
        </w:rPr>
        <w:t xml:space="preserve">Чистка просеки ВЛ-35-10 </w:t>
      </w:r>
      <w:proofErr w:type="spellStart"/>
      <w:r w:rsidRPr="00AD1FFF">
        <w:rPr>
          <w:b/>
          <w:bCs/>
          <w:i/>
          <w:sz w:val="26"/>
          <w:szCs w:val="26"/>
        </w:rPr>
        <w:t>кВ</w:t>
      </w:r>
      <w:proofErr w:type="spellEnd"/>
      <w:r w:rsidRPr="00AD1FFF">
        <w:rPr>
          <w:b/>
          <w:bCs/>
          <w:i/>
          <w:sz w:val="26"/>
          <w:szCs w:val="26"/>
        </w:rPr>
        <w:t xml:space="preserve"> ЭС ЕАО</w:t>
      </w:r>
      <w:r w:rsidRPr="00CF4E9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(закупка 2061</w:t>
      </w:r>
      <w:r w:rsidRPr="00CF4E9C">
        <w:rPr>
          <w:bCs/>
          <w:sz w:val="24"/>
          <w:szCs w:val="24"/>
        </w:rPr>
        <w:t xml:space="preserve"> раздела 1.1 ГКПЗ 2014 г.). </w:t>
      </w:r>
    </w:p>
    <w:p w:rsidR="000F7D36" w:rsidRDefault="000F7D36" w:rsidP="000F7D3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0F7D36" w:rsidRPr="000D79CE" w:rsidRDefault="000F7D36" w:rsidP="000F7D3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16 543 043,0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28.05.2014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133</w:t>
      </w:r>
      <w:r w:rsidRPr="002C450C">
        <w:rPr>
          <w:sz w:val="24"/>
          <w:szCs w:val="24"/>
        </w:rPr>
        <w:t>.</w:t>
      </w:r>
    </w:p>
    <w:p w:rsidR="00F81DDD" w:rsidRPr="002C450C" w:rsidRDefault="00F81DDD" w:rsidP="00F81DDD">
      <w:pPr>
        <w:spacing w:line="240" w:lineRule="auto"/>
        <w:rPr>
          <w:b/>
          <w:sz w:val="24"/>
          <w:szCs w:val="24"/>
        </w:rPr>
      </w:pPr>
    </w:p>
    <w:p w:rsidR="00791CB7" w:rsidRPr="00671562" w:rsidRDefault="009F683E" w:rsidP="0067156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93731F" w:rsidRDefault="0093731F" w:rsidP="0093731F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bookmarkStart w:id="0" w:name="_GoBack"/>
      <w:r w:rsidRPr="009B747D">
        <w:rPr>
          <w:sz w:val="24"/>
        </w:rPr>
        <w:t>О признании предложений соответствующими условиям закупки.</w:t>
      </w:r>
    </w:p>
    <w:p w:rsidR="0093731F" w:rsidRDefault="0093731F" w:rsidP="0093731F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</w:p>
    <w:p w:rsidR="0093731F" w:rsidRPr="009B747D" w:rsidRDefault="0093731F" w:rsidP="0093731F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93731F" w:rsidRPr="005A33B6" w:rsidRDefault="0093731F" w:rsidP="0093731F">
      <w:pPr>
        <w:spacing w:line="240" w:lineRule="auto"/>
        <w:ind w:firstLine="0"/>
        <w:rPr>
          <w:b/>
          <w:sz w:val="24"/>
          <w:szCs w:val="24"/>
        </w:rPr>
      </w:pPr>
    </w:p>
    <w:p w:rsidR="000F7D36" w:rsidRDefault="000F7D36" w:rsidP="000F7D3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>«О признании предложений соответствующими условиям закупки»</w:t>
      </w:r>
    </w:p>
    <w:p w:rsidR="000F7D36" w:rsidRPr="00D41111" w:rsidRDefault="000F7D36" w:rsidP="000F7D36">
      <w:pPr>
        <w:spacing w:line="240" w:lineRule="auto"/>
        <w:rPr>
          <w:b/>
          <w:sz w:val="24"/>
          <w:szCs w:val="24"/>
        </w:rPr>
      </w:pPr>
    </w:p>
    <w:p w:rsidR="000F7D36" w:rsidRDefault="000F7D36" w:rsidP="000F7D3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0F7D36" w:rsidRPr="00D41111" w:rsidRDefault="000F7D36" w:rsidP="000F7D36">
      <w:pPr>
        <w:spacing w:line="240" w:lineRule="auto"/>
        <w:rPr>
          <w:b/>
          <w:sz w:val="24"/>
          <w:szCs w:val="24"/>
        </w:rPr>
      </w:pPr>
    </w:p>
    <w:p w:rsidR="000F7D36" w:rsidRPr="00D41111" w:rsidRDefault="000F7D36" w:rsidP="000F7D36">
      <w:pPr>
        <w:pStyle w:val="a5"/>
        <w:numPr>
          <w:ilvl w:val="0"/>
          <w:numId w:val="17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0F7D36" w:rsidRPr="00D41111" w:rsidRDefault="000F7D36" w:rsidP="000F7D36">
      <w:pPr>
        <w:pStyle w:val="a5"/>
        <w:numPr>
          <w:ilvl w:val="0"/>
          <w:numId w:val="17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Калинина В.В. и Лаптева И.А.</w:t>
      </w:r>
    </w:p>
    <w:p w:rsidR="000F7D36" w:rsidRPr="00D41111" w:rsidRDefault="000F7D36" w:rsidP="000F7D36">
      <w:pPr>
        <w:pStyle w:val="a5"/>
        <w:numPr>
          <w:ilvl w:val="0"/>
          <w:numId w:val="17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0F7D36" w:rsidRPr="00D41111" w:rsidRDefault="000F7D36" w:rsidP="000F7D36">
      <w:pPr>
        <w:spacing w:line="240" w:lineRule="auto"/>
        <w:rPr>
          <w:b/>
          <w:sz w:val="24"/>
          <w:szCs w:val="24"/>
        </w:rPr>
      </w:pPr>
    </w:p>
    <w:p w:rsidR="000F7D36" w:rsidRPr="00D41111" w:rsidRDefault="000F7D36" w:rsidP="000F7D3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0F7D36" w:rsidRDefault="000F7D36" w:rsidP="000F7D36">
      <w:pPr>
        <w:tabs>
          <w:tab w:val="num" w:pos="851"/>
        </w:tabs>
        <w:spacing w:line="240" w:lineRule="auto"/>
        <w:ind w:firstLine="0"/>
        <w:rPr>
          <w:sz w:val="24"/>
          <w:szCs w:val="24"/>
        </w:rPr>
      </w:pPr>
    </w:p>
    <w:p w:rsidR="000F7D36" w:rsidRDefault="000F7D36" w:rsidP="000F7D36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3728ED">
        <w:rPr>
          <w:color w:val="000000"/>
          <w:sz w:val="24"/>
          <w:szCs w:val="24"/>
        </w:rPr>
        <w:t>ОАО "</w:t>
      </w:r>
      <w:proofErr w:type="spellStart"/>
      <w:r w:rsidRPr="003728ED">
        <w:rPr>
          <w:color w:val="000000"/>
          <w:sz w:val="24"/>
          <w:szCs w:val="24"/>
        </w:rPr>
        <w:t>Востоксельэлектросетьстрой</w:t>
      </w:r>
      <w:proofErr w:type="spellEnd"/>
      <w:r w:rsidRPr="003728ED">
        <w:rPr>
          <w:color w:val="000000"/>
          <w:sz w:val="24"/>
          <w:szCs w:val="24"/>
        </w:rPr>
        <w:t>" г. Хабаровск</w:t>
      </w:r>
      <w:r>
        <w:rPr>
          <w:color w:val="000000"/>
          <w:sz w:val="24"/>
          <w:szCs w:val="24"/>
        </w:rPr>
        <w:t xml:space="preserve">, </w:t>
      </w:r>
      <w:r w:rsidRPr="003728ED">
        <w:rPr>
          <w:color w:val="000000"/>
          <w:sz w:val="24"/>
          <w:szCs w:val="24"/>
        </w:rPr>
        <w:t xml:space="preserve">ИП Виноградов п. </w:t>
      </w:r>
      <w:proofErr w:type="spellStart"/>
      <w:r w:rsidRPr="003728ED">
        <w:rPr>
          <w:color w:val="000000"/>
          <w:sz w:val="24"/>
          <w:szCs w:val="24"/>
        </w:rPr>
        <w:t>Биракан</w:t>
      </w:r>
      <w:proofErr w:type="spellEnd"/>
      <w:r>
        <w:rPr>
          <w:color w:val="000000"/>
          <w:sz w:val="24"/>
          <w:szCs w:val="24"/>
        </w:rPr>
        <w:t xml:space="preserve">, </w:t>
      </w:r>
      <w:r w:rsidRPr="003728ED">
        <w:rPr>
          <w:color w:val="000000"/>
          <w:sz w:val="24"/>
          <w:szCs w:val="24"/>
        </w:rPr>
        <w:t>ИП Рязанова Н.В. г. Благовещенск</w:t>
      </w:r>
      <w:r>
        <w:rPr>
          <w:color w:val="000000"/>
          <w:sz w:val="24"/>
          <w:szCs w:val="24"/>
        </w:rPr>
        <w:t xml:space="preserve">, </w:t>
      </w:r>
      <w:r w:rsidRPr="003728ED">
        <w:rPr>
          <w:color w:val="000000"/>
          <w:sz w:val="24"/>
          <w:szCs w:val="24"/>
        </w:rPr>
        <w:t>ООО "</w:t>
      </w:r>
      <w:proofErr w:type="spellStart"/>
      <w:r w:rsidRPr="003728ED">
        <w:rPr>
          <w:color w:val="000000"/>
          <w:sz w:val="24"/>
          <w:szCs w:val="24"/>
        </w:rPr>
        <w:t>СтройГарант</w:t>
      </w:r>
      <w:proofErr w:type="spellEnd"/>
      <w:r w:rsidRPr="003728ED">
        <w:rPr>
          <w:color w:val="000000"/>
          <w:sz w:val="24"/>
          <w:szCs w:val="24"/>
        </w:rPr>
        <w:t xml:space="preserve">" </w:t>
      </w:r>
      <w:r>
        <w:rPr>
          <w:color w:val="000000"/>
          <w:sz w:val="24"/>
          <w:szCs w:val="24"/>
        </w:rPr>
        <w:t>г. Тында, ООО «</w:t>
      </w:r>
      <w:proofErr w:type="spellStart"/>
      <w:r>
        <w:rPr>
          <w:color w:val="000000"/>
          <w:sz w:val="24"/>
          <w:szCs w:val="24"/>
        </w:rPr>
        <w:t>СпецСети</w:t>
      </w:r>
      <w:proofErr w:type="spellEnd"/>
      <w:r>
        <w:rPr>
          <w:color w:val="000000"/>
          <w:sz w:val="24"/>
          <w:szCs w:val="24"/>
        </w:rPr>
        <w:t xml:space="preserve">» г. Благовещенск, </w:t>
      </w:r>
      <w:r w:rsidRPr="003728ED">
        <w:rPr>
          <w:color w:val="000000"/>
          <w:sz w:val="24"/>
          <w:szCs w:val="24"/>
        </w:rPr>
        <w:t xml:space="preserve">ИП </w:t>
      </w:r>
      <w:proofErr w:type="spellStart"/>
      <w:r w:rsidRPr="003728ED">
        <w:rPr>
          <w:color w:val="000000"/>
          <w:sz w:val="24"/>
          <w:szCs w:val="24"/>
        </w:rPr>
        <w:t>Бакриев</w:t>
      </w:r>
      <w:proofErr w:type="spellEnd"/>
      <w:r w:rsidRPr="003728ED">
        <w:rPr>
          <w:color w:val="000000"/>
          <w:sz w:val="24"/>
          <w:szCs w:val="24"/>
        </w:rPr>
        <w:t xml:space="preserve"> Л.Л. г. </w:t>
      </w:r>
      <w:proofErr w:type="spellStart"/>
      <w:r w:rsidRPr="003728ED">
        <w:rPr>
          <w:color w:val="000000"/>
          <w:sz w:val="24"/>
          <w:szCs w:val="24"/>
        </w:rPr>
        <w:t>Зея</w:t>
      </w:r>
      <w:proofErr w:type="spellEnd"/>
      <w:r>
        <w:rPr>
          <w:color w:val="000000"/>
          <w:sz w:val="24"/>
          <w:szCs w:val="24"/>
        </w:rPr>
        <w:t xml:space="preserve">, </w:t>
      </w:r>
      <w:r w:rsidRPr="003728ED">
        <w:rPr>
          <w:color w:val="000000"/>
          <w:sz w:val="24"/>
          <w:szCs w:val="24"/>
        </w:rPr>
        <w:t>ООО "</w:t>
      </w:r>
      <w:proofErr w:type="spellStart"/>
      <w:r w:rsidRPr="003728ED">
        <w:rPr>
          <w:color w:val="000000"/>
          <w:sz w:val="24"/>
          <w:szCs w:val="24"/>
        </w:rPr>
        <w:t>СтройАльянс</w:t>
      </w:r>
      <w:proofErr w:type="spellEnd"/>
      <w:r w:rsidRPr="003728ED">
        <w:rPr>
          <w:color w:val="000000"/>
          <w:sz w:val="24"/>
          <w:szCs w:val="24"/>
        </w:rPr>
        <w:t>"  г. Благовещенск</w:t>
      </w:r>
      <w:r>
        <w:rPr>
          <w:color w:val="000000"/>
          <w:sz w:val="24"/>
          <w:szCs w:val="24"/>
        </w:rPr>
        <w:t xml:space="preserve">, </w:t>
      </w:r>
      <w:r w:rsidRPr="003728ED">
        <w:rPr>
          <w:color w:val="000000"/>
          <w:sz w:val="24"/>
          <w:szCs w:val="24"/>
        </w:rPr>
        <w:t>ООО "Дорожное строительство Дальнего Востока" г. Биробиджан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0F7D36" w:rsidRDefault="000F7D36" w:rsidP="000F7D36">
      <w:pPr>
        <w:spacing w:line="240" w:lineRule="auto"/>
        <w:rPr>
          <w:b/>
          <w:sz w:val="24"/>
          <w:szCs w:val="24"/>
        </w:rPr>
      </w:pPr>
    </w:p>
    <w:p w:rsidR="000F7D36" w:rsidRPr="00D41111" w:rsidRDefault="000F7D36" w:rsidP="000F7D3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предварительной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0F7D36" w:rsidRPr="00D41111" w:rsidRDefault="000F7D36" w:rsidP="000F7D36">
      <w:pPr>
        <w:spacing w:line="240" w:lineRule="auto"/>
        <w:rPr>
          <w:b/>
          <w:sz w:val="24"/>
          <w:szCs w:val="24"/>
        </w:rPr>
      </w:pPr>
    </w:p>
    <w:p w:rsidR="000F7D36" w:rsidRDefault="000F7D36" w:rsidP="000F7D3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0F7D36" w:rsidRPr="00D41111" w:rsidRDefault="000F7D36" w:rsidP="000F7D36">
      <w:pPr>
        <w:spacing w:line="240" w:lineRule="auto"/>
        <w:rPr>
          <w:b/>
          <w:sz w:val="24"/>
          <w:szCs w:val="24"/>
        </w:rPr>
      </w:pPr>
    </w:p>
    <w:p w:rsidR="000F7D36" w:rsidRPr="00D41111" w:rsidRDefault="000F7D36" w:rsidP="000F7D36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0F7D36" w:rsidRPr="00D41111" w:rsidRDefault="000F7D36" w:rsidP="000F7D36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Калинина В.В.  и Лаптева И.А.</w:t>
      </w:r>
    </w:p>
    <w:p w:rsidR="000F7D36" w:rsidRPr="00D41111" w:rsidRDefault="000F7D36" w:rsidP="000F7D36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0F7D36" w:rsidRPr="00D41111" w:rsidRDefault="000F7D36" w:rsidP="000F7D36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0F7D36" w:rsidRDefault="000F7D36" w:rsidP="000F7D3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0F7D36" w:rsidRPr="0088359B" w:rsidRDefault="000F7D36" w:rsidP="000F7D36">
      <w:pPr>
        <w:spacing w:line="240" w:lineRule="auto"/>
        <w:rPr>
          <w:b/>
          <w:sz w:val="24"/>
          <w:szCs w:val="24"/>
        </w:rPr>
      </w:pPr>
    </w:p>
    <w:p w:rsidR="000F7D36" w:rsidRDefault="000F7D36" w:rsidP="000F7D36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0F7D36" w:rsidRPr="00131B71" w:rsidRDefault="000F7D36" w:rsidP="000F7D36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5102"/>
      </w:tblGrid>
      <w:tr w:rsidR="000F7D36" w:rsidRPr="00E7073D" w:rsidTr="0059706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36" w:rsidRPr="00F57434" w:rsidRDefault="000F7D36" w:rsidP="00597069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>Место в ран-жировке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36" w:rsidRPr="00E7073D" w:rsidRDefault="000F7D36" w:rsidP="0059706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36" w:rsidRPr="00E7073D" w:rsidRDefault="000F7D36" w:rsidP="0059706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36" w:rsidRPr="00E7073D" w:rsidRDefault="000F7D36" w:rsidP="0059706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0F7D36" w:rsidRPr="000F6145" w:rsidTr="00597069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F57434" w:rsidRDefault="000F7D36" w:rsidP="0059706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3728ED" w:rsidRDefault="000F7D36" w:rsidP="0059706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Бакриев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 xml:space="preserve"> Л.Л. 676244, Амурская обл., г. 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Зея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>, Промышленный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3728ED" w:rsidRDefault="000F7D36" w:rsidP="0059706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10 989 667,0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  <w:r w:rsidRPr="00F5743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82230A" w:rsidRDefault="000F7D36" w:rsidP="00597069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82230A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август – декабрь </w:t>
            </w:r>
            <w:r w:rsidRPr="0082230A">
              <w:rPr>
                <w:sz w:val="24"/>
                <w:szCs w:val="24"/>
              </w:rPr>
              <w:t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</w:t>
            </w:r>
            <w:r>
              <w:rPr>
                <w:sz w:val="24"/>
                <w:szCs w:val="24"/>
              </w:rPr>
              <w:t>о вине подрядчика, составляет 24</w:t>
            </w:r>
            <w:r w:rsidRPr="0082230A">
              <w:rPr>
                <w:sz w:val="24"/>
                <w:szCs w:val="24"/>
              </w:rPr>
              <w:t xml:space="preserve"> месяцев со дня подписания акта сдачи-приемки. Срок действия оферты до </w:t>
            </w:r>
            <w:r>
              <w:rPr>
                <w:sz w:val="24"/>
                <w:szCs w:val="24"/>
              </w:rPr>
              <w:t>10.08</w:t>
            </w:r>
            <w:r w:rsidRPr="0082230A">
              <w:rPr>
                <w:sz w:val="24"/>
                <w:szCs w:val="24"/>
              </w:rPr>
              <w:t>.2014 г.</w:t>
            </w:r>
          </w:p>
        </w:tc>
      </w:tr>
      <w:tr w:rsidR="000F7D36" w:rsidRPr="000F6145" w:rsidTr="00597069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F57434" w:rsidRDefault="000F7D36" w:rsidP="0059706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3728ED" w:rsidRDefault="000F7D36" w:rsidP="0059706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СтройГарант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 xml:space="preserve">" </w:t>
            </w:r>
            <w:r>
              <w:rPr>
                <w:color w:val="000000"/>
                <w:sz w:val="24"/>
                <w:szCs w:val="24"/>
              </w:rPr>
              <w:t>676282, Амурская обл. г. Тында, ул. Красная Пресня, д. 3, кв. 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3728ED" w:rsidRDefault="000F7D36" w:rsidP="0059706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12 456 406,0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14 698 559,08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 w:rsidRPr="00F5743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82230A" w:rsidRDefault="000F7D36" w:rsidP="00597069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82230A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август – декабрь </w:t>
            </w:r>
            <w:r w:rsidRPr="0082230A">
              <w:rPr>
                <w:sz w:val="24"/>
                <w:szCs w:val="24"/>
              </w:rPr>
              <w:t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</w:t>
            </w:r>
            <w:r>
              <w:rPr>
                <w:sz w:val="24"/>
                <w:szCs w:val="24"/>
              </w:rPr>
              <w:t>о вине подрядчика, составляет 24</w:t>
            </w:r>
            <w:r w:rsidRPr="0082230A">
              <w:rPr>
                <w:sz w:val="24"/>
                <w:szCs w:val="24"/>
              </w:rPr>
              <w:t xml:space="preserve"> месяцев со дня подписания акта сдачи-приемки. Гарантия на материалы и оборудование, пост</w:t>
            </w:r>
            <w:r>
              <w:rPr>
                <w:sz w:val="24"/>
                <w:szCs w:val="24"/>
              </w:rPr>
              <w:t>авляемые подрядчиком не менее 24</w:t>
            </w:r>
            <w:r w:rsidRPr="0082230A">
              <w:rPr>
                <w:sz w:val="24"/>
                <w:szCs w:val="24"/>
              </w:rPr>
              <w:t xml:space="preserve"> месяцев. Срок действия оферты до </w:t>
            </w:r>
            <w:r>
              <w:rPr>
                <w:sz w:val="24"/>
                <w:szCs w:val="24"/>
              </w:rPr>
              <w:t>31.12</w:t>
            </w:r>
            <w:r w:rsidRPr="0082230A">
              <w:rPr>
                <w:sz w:val="24"/>
                <w:szCs w:val="24"/>
              </w:rPr>
              <w:t>.2014 г.</w:t>
            </w:r>
          </w:p>
        </w:tc>
      </w:tr>
      <w:tr w:rsidR="000F7D36" w:rsidRPr="000F6145" w:rsidTr="00597069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F57434" w:rsidRDefault="000F7D36" w:rsidP="0059706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3728ED" w:rsidRDefault="000F7D36" w:rsidP="0059706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 xml:space="preserve">ИП Виноградов 679135, Еврейская 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АОбл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Облученский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 xml:space="preserve"> р-н, п. 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Биракан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>, ул. Калинина, 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962FB3" w:rsidRDefault="000F7D36" w:rsidP="0059706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13 973 180,05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82230A" w:rsidRDefault="000F7D36" w:rsidP="00597069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82230A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август – декабрь </w:t>
            </w:r>
            <w:r w:rsidRPr="0082230A">
              <w:rPr>
                <w:sz w:val="24"/>
                <w:szCs w:val="24"/>
              </w:rPr>
              <w:t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</w:t>
            </w:r>
            <w:r>
              <w:rPr>
                <w:sz w:val="24"/>
                <w:szCs w:val="24"/>
              </w:rPr>
              <w:t>о вине подрядчика, составляет 24</w:t>
            </w:r>
            <w:r w:rsidRPr="0082230A">
              <w:rPr>
                <w:sz w:val="24"/>
                <w:szCs w:val="24"/>
              </w:rPr>
              <w:t xml:space="preserve"> месяцев со дня подписания акта сдачи-приемки. Гарантия на материалы и оборудование, пост</w:t>
            </w:r>
            <w:r>
              <w:rPr>
                <w:sz w:val="24"/>
                <w:szCs w:val="24"/>
              </w:rPr>
              <w:t>авляемые подрядчиком не менее 60</w:t>
            </w:r>
            <w:r w:rsidRPr="0082230A">
              <w:rPr>
                <w:sz w:val="24"/>
                <w:szCs w:val="24"/>
              </w:rPr>
              <w:t xml:space="preserve"> месяцев. Срок действия оферты до </w:t>
            </w:r>
            <w:r>
              <w:rPr>
                <w:sz w:val="24"/>
                <w:szCs w:val="24"/>
              </w:rPr>
              <w:t>31.08</w:t>
            </w:r>
            <w:r w:rsidRPr="0082230A">
              <w:rPr>
                <w:sz w:val="24"/>
                <w:szCs w:val="24"/>
              </w:rPr>
              <w:t>.2014 г.</w:t>
            </w:r>
          </w:p>
        </w:tc>
      </w:tr>
      <w:tr w:rsidR="000F7D36" w:rsidRPr="000F6145" w:rsidTr="00597069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F57434" w:rsidRDefault="000F7D36" w:rsidP="0059706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FB395A" w:rsidRDefault="000F7D36" w:rsidP="0059706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СпецСети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675000, г. Благовещенск, ул. Горького </w:t>
            </w:r>
            <w:r>
              <w:rPr>
                <w:color w:val="000000"/>
                <w:sz w:val="24"/>
                <w:szCs w:val="24"/>
              </w:rPr>
              <w:lastRenderedPageBreak/>
              <w:t>300, оф. 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3728ED" w:rsidRDefault="000F7D36" w:rsidP="0059706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14 840 823,98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17 512 172,3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 w:rsidRPr="00F57434">
              <w:rPr>
                <w:sz w:val="24"/>
                <w:szCs w:val="24"/>
              </w:rPr>
              <w:t xml:space="preserve"> В цену включены </w:t>
            </w:r>
            <w:r w:rsidRPr="00F57434">
              <w:rPr>
                <w:sz w:val="24"/>
                <w:szCs w:val="24"/>
              </w:rPr>
              <w:lastRenderedPageBreak/>
              <w:t>все налоги и обязательные платежи, все скидки.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82230A" w:rsidRDefault="000F7D36" w:rsidP="00597069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82230A">
              <w:rPr>
                <w:sz w:val="24"/>
                <w:szCs w:val="24"/>
              </w:rPr>
              <w:lastRenderedPageBreak/>
              <w:t xml:space="preserve">Срок выполнения: </w:t>
            </w:r>
            <w:r>
              <w:rPr>
                <w:sz w:val="24"/>
                <w:szCs w:val="24"/>
              </w:rPr>
              <w:t xml:space="preserve">август – декабрь </w:t>
            </w:r>
            <w:r w:rsidRPr="0082230A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</w:t>
            </w:r>
            <w:r w:rsidRPr="0082230A">
              <w:rPr>
                <w:sz w:val="24"/>
                <w:szCs w:val="24"/>
              </w:rPr>
              <w:lastRenderedPageBreak/>
              <w:t>дефектов, возникших п</w:t>
            </w:r>
            <w:r>
              <w:rPr>
                <w:sz w:val="24"/>
                <w:szCs w:val="24"/>
              </w:rPr>
              <w:t>о вине подрядчика, составляет 24</w:t>
            </w:r>
            <w:r w:rsidRPr="0082230A">
              <w:rPr>
                <w:sz w:val="24"/>
                <w:szCs w:val="24"/>
              </w:rPr>
              <w:t xml:space="preserve"> месяцев со дня подписания акта сдачи-приемки. Гарантия на материалы и оборудование, пост</w:t>
            </w:r>
            <w:r>
              <w:rPr>
                <w:sz w:val="24"/>
                <w:szCs w:val="24"/>
              </w:rPr>
              <w:t>авляемые подрядчиком не менее 12</w:t>
            </w:r>
            <w:r w:rsidRPr="0082230A">
              <w:rPr>
                <w:sz w:val="24"/>
                <w:szCs w:val="24"/>
              </w:rPr>
              <w:t xml:space="preserve"> месяцев. Срок действия оферты до </w:t>
            </w:r>
            <w:r>
              <w:rPr>
                <w:sz w:val="24"/>
                <w:szCs w:val="24"/>
              </w:rPr>
              <w:t>10.08</w:t>
            </w:r>
            <w:r w:rsidRPr="0082230A">
              <w:rPr>
                <w:sz w:val="24"/>
                <w:szCs w:val="24"/>
              </w:rPr>
              <w:t>.2014 г.</w:t>
            </w:r>
          </w:p>
        </w:tc>
      </w:tr>
      <w:tr w:rsidR="000F7D36" w:rsidRPr="000F6145" w:rsidTr="00597069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F57434" w:rsidRDefault="000F7D36" w:rsidP="0059706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3728ED" w:rsidRDefault="000F7D36" w:rsidP="0059706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>ОАО "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Востоксельэлектросетьстрой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>" 680042, г. Хабаровск, ул. Тихоокеанская, 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F57434" w:rsidRDefault="000F7D36" w:rsidP="00597069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15 319 427,0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18 076 923,86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0F6145" w:rsidRDefault="000F7D36" w:rsidP="00597069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01.08.2014 – 30.12.2014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 xml:space="preserve">. </w:t>
            </w:r>
            <w:r w:rsidRPr="00F57434">
              <w:t xml:space="preserve">Гарантия </w:t>
            </w:r>
            <w:r w:rsidRPr="00A23DCB">
              <w:t>на материалы и оборудование, по</w:t>
            </w:r>
            <w:r>
              <w:t>ставляемые подрядчиком не менее 24</w:t>
            </w:r>
            <w:r w:rsidRPr="00A23DCB">
              <w:t xml:space="preserve">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15.08.2014 г.</w:t>
            </w:r>
            <w:r w:rsidRPr="00131B71">
              <w:t xml:space="preserve"> </w:t>
            </w:r>
          </w:p>
        </w:tc>
      </w:tr>
      <w:tr w:rsidR="000F7D36" w:rsidRPr="000F6145" w:rsidTr="00597069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F57434" w:rsidRDefault="000F7D36" w:rsidP="0059706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FB395A" w:rsidRDefault="000F7D36" w:rsidP="0059706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СтройАльянс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>" 675000, г. Благовещенск, ул. Ленина, 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3728ED" w:rsidRDefault="000F7D36" w:rsidP="0059706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16 314 135,0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19 250 679,3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 w:rsidRPr="00F5743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82230A" w:rsidRDefault="000F7D36" w:rsidP="00597069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654E74">
              <w:rPr>
                <w:sz w:val="24"/>
                <w:szCs w:val="24"/>
              </w:rPr>
              <w:t>Срок выполнения: 01.08.2014 – 30.12.2014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</w:t>
            </w:r>
            <w:r>
              <w:rPr>
                <w:sz w:val="24"/>
                <w:szCs w:val="24"/>
              </w:rPr>
              <w:t xml:space="preserve"> 36</w:t>
            </w:r>
            <w:r w:rsidRPr="00654E74">
              <w:rPr>
                <w:sz w:val="24"/>
                <w:szCs w:val="24"/>
              </w:rPr>
              <w:t xml:space="preserve"> месяцев. Срок действия оферты до </w:t>
            </w:r>
            <w:r>
              <w:rPr>
                <w:sz w:val="24"/>
                <w:szCs w:val="24"/>
              </w:rPr>
              <w:t>30.09</w:t>
            </w:r>
            <w:r w:rsidRPr="00654E74">
              <w:rPr>
                <w:sz w:val="24"/>
                <w:szCs w:val="24"/>
              </w:rPr>
              <w:t>.2014 г</w:t>
            </w:r>
            <w:r>
              <w:t>.</w:t>
            </w:r>
          </w:p>
        </w:tc>
      </w:tr>
      <w:tr w:rsidR="000F7D36" w:rsidRPr="000F6145" w:rsidTr="00597069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F57434" w:rsidRDefault="000F7D36" w:rsidP="0059706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3728ED" w:rsidRDefault="000F7D36" w:rsidP="0059706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>ИП Рязанова Н.В. 675000, г. Благовещенск, ул. Трудовая 44-90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3728ED" w:rsidRDefault="000F7D36" w:rsidP="0059706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16 543 043,0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  <w:r w:rsidRPr="00F5743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82230A" w:rsidRDefault="000F7D36" w:rsidP="00597069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82230A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август – декабрь </w:t>
            </w:r>
            <w:r w:rsidRPr="0082230A">
              <w:rPr>
                <w:sz w:val="24"/>
                <w:szCs w:val="24"/>
              </w:rPr>
              <w:t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</w:t>
            </w:r>
            <w:r>
              <w:rPr>
                <w:sz w:val="24"/>
                <w:szCs w:val="24"/>
              </w:rPr>
              <w:t>о вине подрядчика, составляет 24</w:t>
            </w:r>
            <w:r w:rsidRPr="0082230A">
              <w:rPr>
                <w:sz w:val="24"/>
                <w:szCs w:val="24"/>
              </w:rPr>
              <w:t xml:space="preserve"> месяцев со дня подписания акта сдачи-приемки. Гарантия на материалы и оборудование, пост</w:t>
            </w:r>
            <w:r>
              <w:rPr>
                <w:sz w:val="24"/>
                <w:szCs w:val="24"/>
              </w:rPr>
              <w:t>авляемые подрядчиком не менее 36</w:t>
            </w:r>
            <w:r w:rsidRPr="0082230A">
              <w:rPr>
                <w:sz w:val="24"/>
                <w:szCs w:val="24"/>
              </w:rPr>
              <w:t xml:space="preserve"> месяцев. Срок действия оферты до </w:t>
            </w:r>
            <w:r>
              <w:rPr>
                <w:sz w:val="24"/>
                <w:szCs w:val="24"/>
              </w:rPr>
              <w:t>31.10</w:t>
            </w:r>
            <w:r w:rsidRPr="0082230A">
              <w:rPr>
                <w:sz w:val="24"/>
                <w:szCs w:val="24"/>
              </w:rPr>
              <w:t>.2014 г.</w:t>
            </w:r>
          </w:p>
        </w:tc>
      </w:tr>
      <w:tr w:rsidR="000F7D36" w:rsidRPr="000F6145" w:rsidTr="00597069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F57434" w:rsidRDefault="000F7D36" w:rsidP="0059706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3728ED" w:rsidRDefault="000F7D36" w:rsidP="0059706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>ООО "Дорожное строительство Дальнего Востока" 679000, г. Биробиджан, ул. Декабристов,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3728ED" w:rsidRDefault="000F7D36" w:rsidP="0059706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16 543 043,0</w:t>
            </w:r>
            <w:r w:rsidRPr="003728ED">
              <w:rPr>
                <w:sz w:val="24"/>
                <w:szCs w:val="24"/>
              </w:rPr>
              <w:t xml:space="preserve"> без НДС (</w:t>
            </w:r>
            <w:r>
              <w:rPr>
                <w:sz w:val="24"/>
                <w:szCs w:val="24"/>
              </w:rPr>
              <w:t>19 520 790,74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 w:rsidRPr="00F5743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D36" w:rsidRPr="0082230A" w:rsidRDefault="000F7D36" w:rsidP="00597069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82230A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август – декабрь </w:t>
            </w:r>
            <w:r w:rsidRPr="0082230A">
              <w:rPr>
                <w:sz w:val="24"/>
                <w:szCs w:val="24"/>
              </w:rPr>
              <w:t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</w:t>
            </w:r>
            <w:r>
              <w:rPr>
                <w:sz w:val="24"/>
                <w:szCs w:val="24"/>
              </w:rPr>
              <w:t>о вине подрядчика, составляет 24</w:t>
            </w:r>
            <w:r w:rsidRPr="0082230A">
              <w:rPr>
                <w:sz w:val="24"/>
                <w:szCs w:val="24"/>
              </w:rPr>
              <w:t xml:space="preserve"> месяцев со дня подписания акта сдачи-приемки. Срок действия оферты </w:t>
            </w:r>
            <w:r>
              <w:rPr>
                <w:sz w:val="24"/>
                <w:szCs w:val="24"/>
              </w:rPr>
              <w:t>в течение 90 дней с даты вскрытия конвертов (09.06</w:t>
            </w:r>
            <w:r w:rsidRPr="0082230A">
              <w:rPr>
                <w:sz w:val="24"/>
                <w:szCs w:val="24"/>
              </w:rPr>
              <w:t>.2014 г.</w:t>
            </w:r>
            <w:r>
              <w:rPr>
                <w:sz w:val="24"/>
                <w:szCs w:val="24"/>
              </w:rPr>
              <w:t>).</w:t>
            </w:r>
          </w:p>
        </w:tc>
      </w:tr>
    </w:tbl>
    <w:p w:rsidR="0093731F" w:rsidRDefault="0093731F" w:rsidP="0093731F">
      <w:pPr>
        <w:spacing w:line="240" w:lineRule="auto"/>
        <w:rPr>
          <w:b/>
          <w:sz w:val="24"/>
          <w:szCs w:val="24"/>
        </w:rPr>
      </w:pPr>
    </w:p>
    <w:p w:rsidR="0093731F" w:rsidRPr="007F15A0" w:rsidRDefault="0093731F" w:rsidP="0093731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93731F" w:rsidRDefault="0093731F" w:rsidP="0093731F">
      <w:pPr>
        <w:spacing w:line="240" w:lineRule="auto"/>
        <w:rPr>
          <w:sz w:val="24"/>
          <w:szCs w:val="24"/>
        </w:rPr>
      </w:pPr>
    </w:p>
    <w:p w:rsidR="0093731F" w:rsidRPr="00A5793C" w:rsidRDefault="0093731F" w:rsidP="0093731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0F7D36" w:rsidRDefault="000F7D36" w:rsidP="0093731F">
      <w:pPr>
        <w:pStyle w:val="a5"/>
        <w:spacing w:line="240" w:lineRule="auto"/>
        <w:ind w:left="0"/>
        <w:rPr>
          <w:sz w:val="24"/>
          <w:szCs w:val="24"/>
        </w:rPr>
      </w:pPr>
    </w:p>
    <w:p w:rsidR="0093731F" w:rsidRPr="009B747D" w:rsidRDefault="0093731F" w:rsidP="0093731F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93731F" w:rsidRPr="00F54B56" w:rsidRDefault="0093731F" w:rsidP="0093731F">
      <w:pPr>
        <w:spacing w:line="240" w:lineRule="auto"/>
        <w:ind w:firstLine="0"/>
        <w:rPr>
          <w:b/>
          <w:sz w:val="24"/>
          <w:szCs w:val="24"/>
        </w:rPr>
      </w:pPr>
    </w:p>
    <w:p w:rsidR="0093731F" w:rsidRDefault="0093731F" w:rsidP="0093731F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93731F" w:rsidRDefault="0093731F" w:rsidP="0093731F">
      <w:pPr>
        <w:spacing w:line="240" w:lineRule="auto"/>
        <w:rPr>
          <w:b/>
          <w:sz w:val="24"/>
          <w:szCs w:val="24"/>
        </w:rPr>
      </w:pPr>
    </w:p>
    <w:p w:rsidR="0093731F" w:rsidRDefault="0093731F" w:rsidP="0093731F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="000F7D36" w:rsidRPr="003728ED">
        <w:rPr>
          <w:color w:val="000000"/>
          <w:sz w:val="24"/>
          <w:szCs w:val="24"/>
        </w:rPr>
        <w:t>ОАО "</w:t>
      </w:r>
      <w:proofErr w:type="spellStart"/>
      <w:r w:rsidR="000F7D36" w:rsidRPr="003728ED">
        <w:rPr>
          <w:color w:val="000000"/>
          <w:sz w:val="24"/>
          <w:szCs w:val="24"/>
        </w:rPr>
        <w:t>Востоксельэлектросетьстрой</w:t>
      </w:r>
      <w:proofErr w:type="spellEnd"/>
      <w:r w:rsidR="000F7D36" w:rsidRPr="003728ED">
        <w:rPr>
          <w:color w:val="000000"/>
          <w:sz w:val="24"/>
          <w:szCs w:val="24"/>
        </w:rPr>
        <w:t>" г. Хабаровск</w:t>
      </w:r>
      <w:r w:rsidR="000F7D36">
        <w:rPr>
          <w:color w:val="000000"/>
          <w:sz w:val="24"/>
          <w:szCs w:val="24"/>
        </w:rPr>
        <w:t xml:space="preserve">, </w:t>
      </w:r>
      <w:r w:rsidR="000F7D36" w:rsidRPr="003728ED">
        <w:rPr>
          <w:color w:val="000000"/>
          <w:sz w:val="24"/>
          <w:szCs w:val="24"/>
        </w:rPr>
        <w:t xml:space="preserve">ИП Виноградов п. </w:t>
      </w:r>
      <w:proofErr w:type="spellStart"/>
      <w:r w:rsidR="000F7D36" w:rsidRPr="003728ED">
        <w:rPr>
          <w:color w:val="000000"/>
          <w:sz w:val="24"/>
          <w:szCs w:val="24"/>
        </w:rPr>
        <w:t>Биракан</w:t>
      </w:r>
      <w:proofErr w:type="spellEnd"/>
      <w:r w:rsidR="000F7D36">
        <w:rPr>
          <w:color w:val="000000"/>
          <w:sz w:val="24"/>
          <w:szCs w:val="24"/>
        </w:rPr>
        <w:t xml:space="preserve">, </w:t>
      </w:r>
      <w:r w:rsidR="000F7D36" w:rsidRPr="003728ED">
        <w:rPr>
          <w:color w:val="000000"/>
          <w:sz w:val="24"/>
          <w:szCs w:val="24"/>
        </w:rPr>
        <w:t>ИП Рязанова Н.В. г. Благовещенск</w:t>
      </w:r>
      <w:r w:rsidR="000F7D36">
        <w:rPr>
          <w:color w:val="000000"/>
          <w:sz w:val="24"/>
          <w:szCs w:val="24"/>
        </w:rPr>
        <w:t xml:space="preserve">, </w:t>
      </w:r>
      <w:r w:rsidR="000F7D36" w:rsidRPr="003728ED">
        <w:rPr>
          <w:color w:val="000000"/>
          <w:sz w:val="24"/>
          <w:szCs w:val="24"/>
        </w:rPr>
        <w:t>ООО "</w:t>
      </w:r>
      <w:proofErr w:type="spellStart"/>
      <w:r w:rsidR="000F7D36" w:rsidRPr="003728ED">
        <w:rPr>
          <w:color w:val="000000"/>
          <w:sz w:val="24"/>
          <w:szCs w:val="24"/>
        </w:rPr>
        <w:t>СтройГарант</w:t>
      </w:r>
      <w:proofErr w:type="spellEnd"/>
      <w:r w:rsidR="000F7D36" w:rsidRPr="003728ED">
        <w:rPr>
          <w:color w:val="000000"/>
          <w:sz w:val="24"/>
          <w:szCs w:val="24"/>
        </w:rPr>
        <w:t xml:space="preserve">" </w:t>
      </w:r>
      <w:r w:rsidR="000F7D36">
        <w:rPr>
          <w:color w:val="000000"/>
          <w:sz w:val="24"/>
          <w:szCs w:val="24"/>
        </w:rPr>
        <w:t>г. Тында, ООО «</w:t>
      </w:r>
      <w:proofErr w:type="spellStart"/>
      <w:r w:rsidR="000F7D36">
        <w:rPr>
          <w:color w:val="000000"/>
          <w:sz w:val="24"/>
          <w:szCs w:val="24"/>
        </w:rPr>
        <w:t>СпецСети</w:t>
      </w:r>
      <w:proofErr w:type="spellEnd"/>
      <w:r w:rsidR="000F7D36">
        <w:rPr>
          <w:color w:val="000000"/>
          <w:sz w:val="24"/>
          <w:szCs w:val="24"/>
        </w:rPr>
        <w:t xml:space="preserve">» г. Благовещенск, </w:t>
      </w:r>
      <w:r w:rsidR="000F7D36" w:rsidRPr="003728ED">
        <w:rPr>
          <w:color w:val="000000"/>
          <w:sz w:val="24"/>
          <w:szCs w:val="24"/>
        </w:rPr>
        <w:t xml:space="preserve">ИП </w:t>
      </w:r>
      <w:proofErr w:type="spellStart"/>
      <w:r w:rsidR="000F7D36" w:rsidRPr="003728ED">
        <w:rPr>
          <w:color w:val="000000"/>
          <w:sz w:val="24"/>
          <w:szCs w:val="24"/>
        </w:rPr>
        <w:t>Бакриев</w:t>
      </w:r>
      <w:proofErr w:type="spellEnd"/>
      <w:r w:rsidR="000F7D36" w:rsidRPr="003728ED">
        <w:rPr>
          <w:color w:val="000000"/>
          <w:sz w:val="24"/>
          <w:szCs w:val="24"/>
        </w:rPr>
        <w:t xml:space="preserve"> Л.Л. г. </w:t>
      </w:r>
      <w:proofErr w:type="spellStart"/>
      <w:r w:rsidR="000F7D36" w:rsidRPr="003728ED">
        <w:rPr>
          <w:color w:val="000000"/>
          <w:sz w:val="24"/>
          <w:szCs w:val="24"/>
        </w:rPr>
        <w:t>Зея</w:t>
      </w:r>
      <w:proofErr w:type="spellEnd"/>
      <w:r w:rsidR="000F7D36">
        <w:rPr>
          <w:color w:val="000000"/>
          <w:sz w:val="24"/>
          <w:szCs w:val="24"/>
        </w:rPr>
        <w:t xml:space="preserve">, </w:t>
      </w:r>
      <w:r w:rsidR="000F7D36" w:rsidRPr="003728ED">
        <w:rPr>
          <w:color w:val="000000"/>
          <w:sz w:val="24"/>
          <w:szCs w:val="24"/>
        </w:rPr>
        <w:t>ООО "</w:t>
      </w:r>
      <w:proofErr w:type="spellStart"/>
      <w:r w:rsidR="000F7D36" w:rsidRPr="003728ED">
        <w:rPr>
          <w:color w:val="000000"/>
          <w:sz w:val="24"/>
          <w:szCs w:val="24"/>
        </w:rPr>
        <w:t>СтройАльянс</w:t>
      </w:r>
      <w:proofErr w:type="spellEnd"/>
      <w:r w:rsidR="000F7D36" w:rsidRPr="003728ED">
        <w:rPr>
          <w:color w:val="000000"/>
          <w:sz w:val="24"/>
          <w:szCs w:val="24"/>
        </w:rPr>
        <w:t>"  г. Благовещенск</w:t>
      </w:r>
      <w:r w:rsidR="000F7D36">
        <w:rPr>
          <w:color w:val="000000"/>
          <w:sz w:val="24"/>
          <w:szCs w:val="24"/>
        </w:rPr>
        <w:t xml:space="preserve">, </w:t>
      </w:r>
      <w:r w:rsidR="000F7D36" w:rsidRPr="003728ED">
        <w:rPr>
          <w:color w:val="000000"/>
          <w:sz w:val="24"/>
          <w:szCs w:val="24"/>
        </w:rPr>
        <w:t>ООО "Дорожное строительство Дальнего Востока" г. Биробиджан</w:t>
      </w:r>
      <w:r w:rsidR="000F7D36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удовлетворяющими по существу условиям закупки.</w:t>
      </w:r>
    </w:p>
    <w:p w:rsidR="0093731F" w:rsidRPr="00F66D92" w:rsidRDefault="0093731F" w:rsidP="0093731F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0F7D36" w:rsidRPr="000F7D36" w:rsidRDefault="000F7D36" w:rsidP="000F7D3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0F7D36">
        <w:rPr>
          <w:sz w:val="24"/>
          <w:szCs w:val="24"/>
        </w:rPr>
        <w:t xml:space="preserve">1 место – </w:t>
      </w:r>
      <w:r w:rsidRPr="000F7D36">
        <w:rPr>
          <w:color w:val="000000"/>
          <w:sz w:val="24"/>
          <w:szCs w:val="24"/>
        </w:rPr>
        <w:t xml:space="preserve">ИП </w:t>
      </w:r>
      <w:proofErr w:type="spellStart"/>
      <w:r w:rsidRPr="000F7D36">
        <w:rPr>
          <w:color w:val="000000"/>
          <w:sz w:val="24"/>
          <w:szCs w:val="24"/>
        </w:rPr>
        <w:t>Бакриев</w:t>
      </w:r>
      <w:proofErr w:type="spellEnd"/>
      <w:r w:rsidRPr="000F7D36">
        <w:rPr>
          <w:color w:val="000000"/>
          <w:sz w:val="24"/>
          <w:szCs w:val="24"/>
        </w:rPr>
        <w:t xml:space="preserve"> Л.Л. г. </w:t>
      </w:r>
      <w:proofErr w:type="spellStart"/>
      <w:r w:rsidRPr="000F7D36">
        <w:rPr>
          <w:color w:val="000000"/>
          <w:sz w:val="24"/>
          <w:szCs w:val="24"/>
        </w:rPr>
        <w:t>Зея</w:t>
      </w:r>
      <w:proofErr w:type="spellEnd"/>
    </w:p>
    <w:p w:rsidR="000F7D36" w:rsidRPr="000F7D36" w:rsidRDefault="000F7D36" w:rsidP="000F7D3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0F7D36">
        <w:rPr>
          <w:sz w:val="24"/>
          <w:szCs w:val="24"/>
        </w:rPr>
        <w:t xml:space="preserve">2 место - </w:t>
      </w:r>
      <w:r w:rsidRPr="000F7D36">
        <w:rPr>
          <w:color w:val="000000"/>
          <w:sz w:val="24"/>
          <w:szCs w:val="24"/>
        </w:rPr>
        <w:t>ООО "</w:t>
      </w:r>
      <w:proofErr w:type="spellStart"/>
      <w:r w:rsidRPr="000F7D36">
        <w:rPr>
          <w:color w:val="000000"/>
          <w:sz w:val="24"/>
          <w:szCs w:val="24"/>
        </w:rPr>
        <w:t>СтройГарант</w:t>
      </w:r>
      <w:proofErr w:type="spellEnd"/>
      <w:r w:rsidRPr="000F7D36">
        <w:rPr>
          <w:color w:val="000000"/>
          <w:sz w:val="24"/>
          <w:szCs w:val="24"/>
        </w:rPr>
        <w:t>" г. Тында</w:t>
      </w:r>
    </w:p>
    <w:p w:rsidR="000F7D36" w:rsidRPr="000F7D36" w:rsidRDefault="000F7D36" w:rsidP="000F7D3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0F7D36">
        <w:rPr>
          <w:sz w:val="24"/>
          <w:szCs w:val="24"/>
        </w:rPr>
        <w:t xml:space="preserve">3 место - </w:t>
      </w:r>
      <w:r w:rsidRPr="000F7D36">
        <w:rPr>
          <w:color w:val="000000"/>
          <w:sz w:val="24"/>
          <w:szCs w:val="24"/>
        </w:rPr>
        <w:t xml:space="preserve">ИП Виноградов п. </w:t>
      </w:r>
      <w:proofErr w:type="spellStart"/>
      <w:r w:rsidRPr="000F7D36">
        <w:rPr>
          <w:color w:val="000000"/>
          <w:sz w:val="24"/>
          <w:szCs w:val="24"/>
        </w:rPr>
        <w:t>Биракан</w:t>
      </w:r>
      <w:proofErr w:type="spellEnd"/>
    </w:p>
    <w:p w:rsidR="000F7D36" w:rsidRPr="000F7D36" w:rsidRDefault="000F7D36" w:rsidP="000F7D3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0F7D36">
        <w:rPr>
          <w:sz w:val="24"/>
          <w:szCs w:val="24"/>
        </w:rPr>
        <w:t xml:space="preserve">4 место - </w:t>
      </w:r>
      <w:r w:rsidRPr="000F7D36">
        <w:rPr>
          <w:color w:val="000000"/>
          <w:sz w:val="24"/>
          <w:szCs w:val="24"/>
        </w:rPr>
        <w:t>ООО «</w:t>
      </w:r>
      <w:proofErr w:type="spellStart"/>
      <w:r w:rsidRPr="000F7D36">
        <w:rPr>
          <w:color w:val="000000"/>
          <w:sz w:val="24"/>
          <w:szCs w:val="24"/>
        </w:rPr>
        <w:t>СпецСети</w:t>
      </w:r>
      <w:proofErr w:type="spellEnd"/>
      <w:r w:rsidRPr="000F7D36">
        <w:rPr>
          <w:color w:val="000000"/>
          <w:sz w:val="24"/>
          <w:szCs w:val="24"/>
        </w:rPr>
        <w:t>» г. Благовещенск</w:t>
      </w:r>
    </w:p>
    <w:p w:rsidR="000F7D36" w:rsidRPr="000F7D36" w:rsidRDefault="000F7D36" w:rsidP="000F7D36">
      <w:pPr>
        <w:tabs>
          <w:tab w:val="num" w:pos="142"/>
        </w:tabs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0F7D36">
        <w:rPr>
          <w:snapToGrid/>
          <w:sz w:val="24"/>
          <w:szCs w:val="24"/>
        </w:rPr>
        <w:t xml:space="preserve">5 место - </w:t>
      </w:r>
      <w:r w:rsidRPr="000F7D36">
        <w:rPr>
          <w:color w:val="000000"/>
          <w:sz w:val="24"/>
          <w:szCs w:val="24"/>
        </w:rPr>
        <w:t>ОАО "</w:t>
      </w:r>
      <w:proofErr w:type="spellStart"/>
      <w:r w:rsidRPr="000F7D36">
        <w:rPr>
          <w:color w:val="000000"/>
          <w:sz w:val="24"/>
          <w:szCs w:val="24"/>
        </w:rPr>
        <w:t>Востоксельэлектросетьстрой</w:t>
      </w:r>
      <w:proofErr w:type="spellEnd"/>
      <w:r w:rsidRPr="000F7D36">
        <w:rPr>
          <w:color w:val="000000"/>
          <w:sz w:val="24"/>
          <w:szCs w:val="24"/>
        </w:rPr>
        <w:t>" г. Хабаровск</w:t>
      </w:r>
    </w:p>
    <w:p w:rsidR="000F7D36" w:rsidRPr="000F7D36" w:rsidRDefault="000F7D36" w:rsidP="000F7D36">
      <w:pPr>
        <w:tabs>
          <w:tab w:val="num" w:pos="142"/>
        </w:tabs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0F7D36">
        <w:rPr>
          <w:color w:val="000000"/>
          <w:sz w:val="24"/>
          <w:szCs w:val="24"/>
        </w:rPr>
        <w:t>6 место - ООО "</w:t>
      </w:r>
      <w:proofErr w:type="spellStart"/>
      <w:r w:rsidRPr="000F7D36">
        <w:rPr>
          <w:color w:val="000000"/>
          <w:sz w:val="24"/>
          <w:szCs w:val="24"/>
        </w:rPr>
        <w:t>СтройАльянс</w:t>
      </w:r>
      <w:proofErr w:type="spellEnd"/>
      <w:r w:rsidRPr="000F7D36">
        <w:rPr>
          <w:color w:val="000000"/>
          <w:sz w:val="24"/>
          <w:szCs w:val="24"/>
        </w:rPr>
        <w:t>"  г. Благовещенск</w:t>
      </w:r>
    </w:p>
    <w:p w:rsidR="000F7D36" w:rsidRPr="000F7D36" w:rsidRDefault="000F7D36" w:rsidP="000F7D36">
      <w:pPr>
        <w:tabs>
          <w:tab w:val="num" w:pos="142"/>
        </w:tabs>
        <w:spacing w:line="240" w:lineRule="auto"/>
        <w:ind w:firstLine="0"/>
        <w:jc w:val="left"/>
        <w:rPr>
          <w:color w:val="000000"/>
          <w:sz w:val="24"/>
          <w:szCs w:val="24"/>
        </w:rPr>
      </w:pPr>
      <w:r w:rsidRPr="000F7D36">
        <w:rPr>
          <w:color w:val="000000"/>
          <w:sz w:val="24"/>
          <w:szCs w:val="24"/>
        </w:rPr>
        <w:t>7 место - ИП Рязанова Н.В. г. Благовещенск</w:t>
      </w:r>
    </w:p>
    <w:p w:rsidR="000F7D36" w:rsidRPr="000F7D36" w:rsidRDefault="000F7D36" w:rsidP="000F7D36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0F7D36">
        <w:rPr>
          <w:color w:val="000000"/>
          <w:sz w:val="24"/>
          <w:szCs w:val="24"/>
        </w:rPr>
        <w:t>8 место - ООО "Дорожное строительство Дальнего Востока" г. Биробиджан</w:t>
      </w:r>
    </w:p>
    <w:p w:rsidR="0093731F" w:rsidRDefault="0093731F" w:rsidP="0093731F">
      <w:pPr>
        <w:pStyle w:val="a5"/>
        <w:numPr>
          <w:ilvl w:val="0"/>
          <w:numId w:val="13"/>
        </w:numPr>
        <w:tabs>
          <w:tab w:val="clear" w:pos="928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93731F" w:rsidRDefault="0093731F" w:rsidP="0093731F">
      <w:pPr>
        <w:pStyle w:val="a5"/>
        <w:numPr>
          <w:ilvl w:val="0"/>
          <w:numId w:val="13"/>
        </w:numPr>
        <w:tabs>
          <w:tab w:val="clear" w:pos="928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="000F7D36" w:rsidRPr="003728ED">
        <w:rPr>
          <w:color w:val="000000"/>
          <w:sz w:val="24"/>
          <w:szCs w:val="24"/>
        </w:rPr>
        <w:t>ОАО "</w:t>
      </w:r>
      <w:proofErr w:type="spellStart"/>
      <w:r w:rsidR="000F7D36" w:rsidRPr="003728ED">
        <w:rPr>
          <w:color w:val="000000"/>
          <w:sz w:val="24"/>
          <w:szCs w:val="24"/>
        </w:rPr>
        <w:t>Востоксельэлектросетьстрой</w:t>
      </w:r>
      <w:proofErr w:type="spellEnd"/>
      <w:r w:rsidR="000F7D36" w:rsidRPr="003728ED">
        <w:rPr>
          <w:color w:val="000000"/>
          <w:sz w:val="24"/>
          <w:szCs w:val="24"/>
        </w:rPr>
        <w:t>" г. Хабаровск</w:t>
      </w:r>
      <w:r w:rsidR="000F7D36">
        <w:rPr>
          <w:color w:val="000000"/>
          <w:sz w:val="24"/>
          <w:szCs w:val="24"/>
        </w:rPr>
        <w:t xml:space="preserve">, </w:t>
      </w:r>
      <w:r w:rsidR="000F7D36" w:rsidRPr="003728ED">
        <w:rPr>
          <w:color w:val="000000"/>
          <w:sz w:val="24"/>
          <w:szCs w:val="24"/>
        </w:rPr>
        <w:t xml:space="preserve">ИП Виноградов п. </w:t>
      </w:r>
      <w:proofErr w:type="spellStart"/>
      <w:r w:rsidR="000F7D36" w:rsidRPr="003728ED">
        <w:rPr>
          <w:color w:val="000000"/>
          <w:sz w:val="24"/>
          <w:szCs w:val="24"/>
        </w:rPr>
        <w:t>Биракан</w:t>
      </w:r>
      <w:proofErr w:type="spellEnd"/>
      <w:r w:rsidR="000F7D36">
        <w:rPr>
          <w:color w:val="000000"/>
          <w:sz w:val="24"/>
          <w:szCs w:val="24"/>
        </w:rPr>
        <w:t xml:space="preserve">, </w:t>
      </w:r>
      <w:r w:rsidR="000F7D36" w:rsidRPr="003728ED">
        <w:rPr>
          <w:color w:val="000000"/>
          <w:sz w:val="24"/>
          <w:szCs w:val="24"/>
        </w:rPr>
        <w:t>ИП Рязанова Н.В. г. Благовещенск</w:t>
      </w:r>
      <w:r w:rsidR="000F7D36">
        <w:rPr>
          <w:color w:val="000000"/>
          <w:sz w:val="24"/>
          <w:szCs w:val="24"/>
        </w:rPr>
        <w:t xml:space="preserve">, </w:t>
      </w:r>
      <w:r w:rsidR="000F7D36" w:rsidRPr="003728ED">
        <w:rPr>
          <w:color w:val="000000"/>
          <w:sz w:val="24"/>
          <w:szCs w:val="24"/>
        </w:rPr>
        <w:t>ООО "</w:t>
      </w:r>
      <w:proofErr w:type="spellStart"/>
      <w:r w:rsidR="000F7D36" w:rsidRPr="003728ED">
        <w:rPr>
          <w:color w:val="000000"/>
          <w:sz w:val="24"/>
          <w:szCs w:val="24"/>
        </w:rPr>
        <w:t>СтройГарант</w:t>
      </w:r>
      <w:proofErr w:type="spellEnd"/>
      <w:r w:rsidR="000F7D36" w:rsidRPr="003728ED">
        <w:rPr>
          <w:color w:val="000000"/>
          <w:sz w:val="24"/>
          <w:szCs w:val="24"/>
        </w:rPr>
        <w:t xml:space="preserve">" </w:t>
      </w:r>
      <w:r w:rsidR="000F7D36">
        <w:rPr>
          <w:color w:val="000000"/>
          <w:sz w:val="24"/>
          <w:szCs w:val="24"/>
        </w:rPr>
        <w:t>г. Тында, ООО «</w:t>
      </w:r>
      <w:proofErr w:type="spellStart"/>
      <w:r w:rsidR="000F7D36">
        <w:rPr>
          <w:color w:val="000000"/>
          <w:sz w:val="24"/>
          <w:szCs w:val="24"/>
        </w:rPr>
        <w:t>СпецСети</w:t>
      </w:r>
      <w:proofErr w:type="spellEnd"/>
      <w:r w:rsidR="000F7D36">
        <w:rPr>
          <w:color w:val="000000"/>
          <w:sz w:val="24"/>
          <w:szCs w:val="24"/>
        </w:rPr>
        <w:t xml:space="preserve">» г. Благовещенск, </w:t>
      </w:r>
      <w:r w:rsidR="000F7D36" w:rsidRPr="003728ED">
        <w:rPr>
          <w:color w:val="000000"/>
          <w:sz w:val="24"/>
          <w:szCs w:val="24"/>
        </w:rPr>
        <w:t xml:space="preserve">ИП </w:t>
      </w:r>
      <w:proofErr w:type="spellStart"/>
      <w:r w:rsidR="000F7D36" w:rsidRPr="003728ED">
        <w:rPr>
          <w:color w:val="000000"/>
          <w:sz w:val="24"/>
          <w:szCs w:val="24"/>
        </w:rPr>
        <w:t>Бакриев</w:t>
      </w:r>
      <w:proofErr w:type="spellEnd"/>
      <w:r w:rsidR="000F7D36" w:rsidRPr="003728ED">
        <w:rPr>
          <w:color w:val="000000"/>
          <w:sz w:val="24"/>
          <w:szCs w:val="24"/>
        </w:rPr>
        <w:t xml:space="preserve"> Л.Л. г. </w:t>
      </w:r>
      <w:proofErr w:type="spellStart"/>
      <w:r w:rsidR="000F7D36" w:rsidRPr="003728ED">
        <w:rPr>
          <w:color w:val="000000"/>
          <w:sz w:val="24"/>
          <w:szCs w:val="24"/>
        </w:rPr>
        <w:t>Зея</w:t>
      </w:r>
      <w:proofErr w:type="spellEnd"/>
      <w:r w:rsidR="000F7D36">
        <w:rPr>
          <w:color w:val="000000"/>
          <w:sz w:val="24"/>
          <w:szCs w:val="24"/>
        </w:rPr>
        <w:t xml:space="preserve">, </w:t>
      </w:r>
      <w:r w:rsidR="000F7D36" w:rsidRPr="003728ED">
        <w:rPr>
          <w:color w:val="000000"/>
          <w:sz w:val="24"/>
          <w:szCs w:val="24"/>
        </w:rPr>
        <w:t>ООО "</w:t>
      </w:r>
      <w:proofErr w:type="spellStart"/>
      <w:r w:rsidR="000F7D36" w:rsidRPr="003728ED">
        <w:rPr>
          <w:color w:val="000000"/>
          <w:sz w:val="24"/>
          <w:szCs w:val="24"/>
        </w:rPr>
        <w:t>СтройАльянс</w:t>
      </w:r>
      <w:proofErr w:type="spellEnd"/>
      <w:r w:rsidR="000F7D36" w:rsidRPr="003728ED">
        <w:rPr>
          <w:color w:val="000000"/>
          <w:sz w:val="24"/>
          <w:szCs w:val="24"/>
        </w:rPr>
        <w:t>"  г. Благовещенск</w:t>
      </w:r>
      <w:r w:rsidR="000F7D36">
        <w:rPr>
          <w:color w:val="000000"/>
          <w:sz w:val="24"/>
          <w:szCs w:val="24"/>
        </w:rPr>
        <w:t xml:space="preserve">, </w:t>
      </w:r>
      <w:r w:rsidR="000F7D36" w:rsidRPr="003728ED">
        <w:rPr>
          <w:color w:val="000000"/>
          <w:sz w:val="24"/>
          <w:szCs w:val="24"/>
        </w:rPr>
        <w:t>ООО "Дорожное строительство Дальнего Востока" г. Биробиджан</w:t>
      </w:r>
      <w:r w:rsidRPr="00F66D92">
        <w:rPr>
          <w:sz w:val="24"/>
          <w:szCs w:val="24"/>
        </w:rPr>
        <w:t xml:space="preserve">. </w:t>
      </w:r>
    </w:p>
    <w:p w:rsidR="0093731F" w:rsidRDefault="0093731F" w:rsidP="0093731F">
      <w:pPr>
        <w:pStyle w:val="a5"/>
        <w:numPr>
          <w:ilvl w:val="0"/>
          <w:numId w:val="13"/>
        </w:numPr>
        <w:tabs>
          <w:tab w:val="clear" w:pos="928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Определить форму переторжки: заочная.</w:t>
      </w:r>
    </w:p>
    <w:p w:rsidR="0093731F" w:rsidRDefault="000F7D36" w:rsidP="0093731F">
      <w:pPr>
        <w:pStyle w:val="a5"/>
        <w:numPr>
          <w:ilvl w:val="0"/>
          <w:numId w:val="13"/>
        </w:numPr>
        <w:tabs>
          <w:tab w:val="clear" w:pos="928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04.07</w:t>
      </w:r>
      <w:r w:rsidR="0093731F" w:rsidRPr="00F66D92">
        <w:rPr>
          <w:sz w:val="24"/>
          <w:szCs w:val="24"/>
        </w:rPr>
        <w:t>.</w:t>
      </w:r>
      <w:r>
        <w:rPr>
          <w:sz w:val="24"/>
          <w:szCs w:val="24"/>
        </w:rPr>
        <w:t>2014  в 14</w:t>
      </w:r>
      <w:r w:rsidR="0093731F" w:rsidRPr="00F66D92">
        <w:rPr>
          <w:sz w:val="24"/>
          <w:szCs w:val="24"/>
        </w:rPr>
        <w:t>:00 благовещенского времени.</w:t>
      </w:r>
    </w:p>
    <w:p w:rsidR="0093731F" w:rsidRDefault="0093731F" w:rsidP="0093731F">
      <w:pPr>
        <w:pStyle w:val="a5"/>
        <w:numPr>
          <w:ilvl w:val="0"/>
          <w:numId w:val="13"/>
        </w:numPr>
        <w:tabs>
          <w:tab w:val="clear" w:pos="928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F66D92">
        <w:rPr>
          <w:sz w:val="24"/>
          <w:szCs w:val="24"/>
        </w:rPr>
        <w:t>каб</w:t>
      </w:r>
      <w:proofErr w:type="spellEnd"/>
      <w:r w:rsidRPr="00F66D92">
        <w:rPr>
          <w:sz w:val="24"/>
          <w:szCs w:val="24"/>
        </w:rPr>
        <w:t>. 244.</w:t>
      </w:r>
    </w:p>
    <w:p w:rsidR="0093731F" w:rsidRPr="00F66D92" w:rsidRDefault="0093731F" w:rsidP="0093731F">
      <w:pPr>
        <w:pStyle w:val="a5"/>
        <w:numPr>
          <w:ilvl w:val="0"/>
          <w:numId w:val="13"/>
        </w:numPr>
        <w:tabs>
          <w:tab w:val="clear" w:pos="928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bookmarkEnd w:id="0"/>
    <w:p w:rsidR="00D11362" w:rsidRDefault="00D11362" w:rsidP="00D11362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671562" w:rsidRPr="00840F06" w:rsidRDefault="00671562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C8219B" w:rsidRDefault="00C8219B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F81DDD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16" w:rsidRDefault="00704716" w:rsidP="00E2330B">
      <w:pPr>
        <w:spacing w:line="240" w:lineRule="auto"/>
      </w:pPr>
      <w:r>
        <w:separator/>
      </w:r>
    </w:p>
  </w:endnote>
  <w:endnote w:type="continuationSeparator" w:id="0">
    <w:p w:rsidR="00704716" w:rsidRDefault="0070471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D3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16" w:rsidRDefault="00704716" w:rsidP="00E2330B">
      <w:pPr>
        <w:spacing w:line="240" w:lineRule="auto"/>
      </w:pPr>
      <w:r>
        <w:separator/>
      </w:r>
    </w:p>
  </w:footnote>
  <w:footnote w:type="continuationSeparator" w:id="0">
    <w:p w:rsidR="00704716" w:rsidRDefault="0070471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DD" w:rsidRPr="00C411DD" w:rsidRDefault="00EB1708" w:rsidP="007517F0">
    <w:pPr>
      <w:pStyle w:val="a7"/>
      <w:jc w:val="right"/>
      <w:rPr>
        <w:i/>
        <w:sz w:val="20"/>
      </w:rPr>
    </w:pPr>
    <w:r>
      <w:rPr>
        <w:i/>
        <w:sz w:val="20"/>
      </w:rPr>
      <w:t>Протокол рассмотрения</w:t>
    </w:r>
    <w:r w:rsidR="000F7D36">
      <w:rPr>
        <w:i/>
        <w:sz w:val="20"/>
      </w:rPr>
      <w:t xml:space="preserve"> № 370/УР-Р закупка 2061</w:t>
    </w:r>
  </w:p>
  <w:p w:rsidR="00C411DD" w:rsidRDefault="00C41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B3E0DD4"/>
    <w:lvl w:ilvl="0" w:tplc="E0F8242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EC67875"/>
    <w:multiLevelType w:val="hybridMultilevel"/>
    <w:tmpl w:val="CEB6D9F8"/>
    <w:lvl w:ilvl="0" w:tplc="F04C29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9"/>
  </w:num>
  <w:num w:numId="9">
    <w:abstractNumId w:val="15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  <w:num w:numId="15">
    <w:abstractNumId w:val="14"/>
  </w:num>
  <w:num w:numId="16">
    <w:abstractNumId w:val="16"/>
  </w:num>
  <w:num w:numId="17">
    <w:abstractNumId w:val="18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03D5"/>
    <w:rsid w:val="00063850"/>
    <w:rsid w:val="00072B19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7D36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57FE9"/>
    <w:rsid w:val="0016225C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26C8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A7D96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642D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4187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1A25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91344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562"/>
    <w:rsid w:val="00684533"/>
    <w:rsid w:val="00685A3A"/>
    <w:rsid w:val="006867F8"/>
    <w:rsid w:val="00691586"/>
    <w:rsid w:val="0069405B"/>
    <w:rsid w:val="006A4349"/>
    <w:rsid w:val="006A4F03"/>
    <w:rsid w:val="006B2A5A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04716"/>
    <w:rsid w:val="007153CD"/>
    <w:rsid w:val="00722EB0"/>
    <w:rsid w:val="00734BED"/>
    <w:rsid w:val="00734C30"/>
    <w:rsid w:val="0074301D"/>
    <w:rsid w:val="00743A52"/>
    <w:rsid w:val="0074697F"/>
    <w:rsid w:val="007517F0"/>
    <w:rsid w:val="00753081"/>
    <w:rsid w:val="007569CB"/>
    <w:rsid w:val="00756C8E"/>
    <w:rsid w:val="007613D8"/>
    <w:rsid w:val="00764A40"/>
    <w:rsid w:val="00774FAB"/>
    <w:rsid w:val="0077782F"/>
    <w:rsid w:val="0078685F"/>
    <w:rsid w:val="00790DF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3731F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1D66"/>
    <w:rsid w:val="009721B2"/>
    <w:rsid w:val="009721CC"/>
    <w:rsid w:val="0097229B"/>
    <w:rsid w:val="00973CAF"/>
    <w:rsid w:val="00980C38"/>
    <w:rsid w:val="009833FB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6AD2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35537"/>
    <w:rsid w:val="00C411DD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06DA"/>
    <w:rsid w:val="00CF1A7A"/>
    <w:rsid w:val="00CF268E"/>
    <w:rsid w:val="00CF3359"/>
    <w:rsid w:val="00CF6D7A"/>
    <w:rsid w:val="00D014F0"/>
    <w:rsid w:val="00D11362"/>
    <w:rsid w:val="00D1610B"/>
    <w:rsid w:val="00D20DDC"/>
    <w:rsid w:val="00D42184"/>
    <w:rsid w:val="00D5252F"/>
    <w:rsid w:val="00D55DC2"/>
    <w:rsid w:val="00D561CE"/>
    <w:rsid w:val="00D6207F"/>
    <w:rsid w:val="00D671B2"/>
    <w:rsid w:val="00D8420E"/>
    <w:rsid w:val="00D842ED"/>
    <w:rsid w:val="00D9629B"/>
    <w:rsid w:val="00DA5762"/>
    <w:rsid w:val="00DB004A"/>
    <w:rsid w:val="00DC052B"/>
    <w:rsid w:val="00DC6268"/>
    <w:rsid w:val="00DC6C2A"/>
    <w:rsid w:val="00DD01AB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170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0D45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1DDD"/>
    <w:rsid w:val="00F8695E"/>
    <w:rsid w:val="00F90488"/>
    <w:rsid w:val="00F920A0"/>
    <w:rsid w:val="00F97014"/>
    <w:rsid w:val="00FA1C35"/>
    <w:rsid w:val="00FA32EE"/>
    <w:rsid w:val="00FA7BEA"/>
    <w:rsid w:val="00FC6C2B"/>
    <w:rsid w:val="00FC79CF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F81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F81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1EB8-BA76-4CC4-8C0C-479A586B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2014-07-02T01:20:00Z</cp:lastPrinted>
  <dcterms:created xsi:type="dcterms:W3CDTF">2014-03-27T04:50:00Z</dcterms:created>
  <dcterms:modified xsi:type="dcterms:W3CDTF">2014-07-02T01:20:00Z</dcterms:modified>
</cp:coreProperties>
</file>