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5543684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0948A37" wp14:editId="1D873C7B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5543684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bookmarkEnd w:id="0"/>
    <w:bookmarkEnd w:id="1"/>
    <w:p w:rsidR="00CE34BE" w:rsidRPr="00B454B7" w:rsidRDefault="00CE34BE" w:rsidP="00CE34BE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CE34BE" w:rsidRPr="00B454B7" w:rsidRDefault="00CE34BE" w:rsidP="00CE34BE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CE34BE" w:rsidTr="000102F8">
        <w:trPr>
          <w:trHeight w:val="80"/>
        </w:trPr>
        <w:tc>
          <w:tcPr>
            <w:tcW w:w="1951" w:type="dxa"/>
          </w:tcPr>
          <w:p w:rsidR="00CE34BE" w:rsidRPr="00C02479" w:rsidRDefault="00CE34BE" w:rsidP="006055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E34BE" w:rsidRDefault="00CE34BE" w:rsidP="00CE34BE">
            <w:pPr>
              <w:spacing w:line="240" w:lineRule="auto"/>
              <w:ind w:left="601" w:right="31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552" w:type="dxa"/>
          </w:tcPr>
          <w:p w:rsidR="00CE34BE" w:rsidRDefault="00CE34BE" w:rsidP="00605592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8F7C0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8F7C0F">
              <w:rPr>
                <w:sz w:val="24"/>
                <w:szCs w:val="24"/>
              </w:rPr>
              <w:t>187/МР</w:t>
            </w:r>
            <w:r w:rsidR="00600912">
              <w:rPr>
                <w:sz w:val="24"/>
                <w:szCs w:val="24"/>
              </w:rPr>
              <w:t>-</w:t>
            </w:r>
            <w:r w:rsidR="00CE34BE">
              <w:rPr>
                <w:sz w:val="24"/>
                <w:szCs w:val="24"/>
              </w:rPr>
              <w:t>Р</w:t>
            </w:r>
          </w:p>
        </w:tc>
        <w:tc>
          <w:tcPr>
            <w:tcW w:w="4254" w:type="dxa"/>
          </w:tcPr>
          <w:p w:rsidR="003C690B" w:rsidRPr="00C02479" w:rsidRDefault="008F7C0F" w:rsidP="005328EE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328EE">
              <w:rPr>
                <w:sz w:val="24"/>
                <w:szCs w:val="24"/>
              </w:rPr>
              <w:t>09</w:t>
            </w:r>
            <w:bookmarkStart w:id="2" w:name="_GoBack"/>
            <w:bookmarkEnd w:id="2"/>
            <w:r w:rsidR="008540CC">
              <w:rPr>
                <w:sz w:val="24"/>
                <w:szCs w:val="24"/>
              </w:rPr>
              <w:t xml:space="preserve"> </w:t>
            </w:r>
            <w:r w:rsidR="00122B8F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</w:t>
            </w:r>
            <w:r w:rsidR="00600912">
              <w:rPr>
                <w:sz w:val="24"/>
                <w:szCs w:val="24"/>
              </w:rPr>
              <w:t>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0102F8" w:rsidRDefault="000102F8" w:rsidP="00600912">
      <w:pPr>
        <w:spacing w:line="240" w:lineRule="auto"/>
        <w:ind w:right="-1" w:firstLine="0"/>
        <w:jc w:val="center"/>
        <w:rPr>
          <w:sz w:val="24"/>
          <w:szCs w:val="24"/>
        </w:rPr>
      </w:pPr>
    </w:p>
    <w:p w:rsidR="008F7C0F" w:rsidRDefault="003C690B" w:rsidP="008F7C0F">
      <w:pPr>
        <w:pStyle w:val="a7"/>
        <w:spacing w:before="0" w:line="240" w:lineRule="auto"/>
        <w:rPr>
          <w:bCs/>
          <w:sz w:val="24"/>
        </w:rPr>
      </w:pPr>
      <w:r w:rsidRPr="00305CDF">
        <w:rPr>
          <w:b/>
          <w:sz w:val="24"/>
        </w:rPr>
        <w:t>ПРЕДМЕТ ЗАКУПКИ:</w:t>
      </w:r>
      <w:r w:rsidR="00587853">
        <w:rPr>
          <w:sz w:val="24"/>
        </w:rPr>
        <w:t xml:space="preserve"> </w:t>
      </w:r>
      <w:r w:rsidR="00A61522" w:rsidRPr="00B60F1A">
        <w:rPr>
          <w:sz w:val="24"/>
        </w:rPr>
        <w:t xml:space="preserve">Открытый </w:t>
      </w:r>
      <w:r w:rsidR="000552A8">
        <w:rPr>
          <w:sz w:val="24"/>
        </w:rPr>
        <w:t xml:space="preserve">электронный </w:t>
      </w:r>
      <w:r w:rsidR="00A61522" w:rsidRPr="00B60F1A">
        <w:rPr>
          <w:sz w:val="24"/>
        </w:rPr>
        <w:t xml:space="preserve">запрос </w:t>
      </w:r>
      <w:r w:rsidR="000552A8">
        <w:rPr>
          <w:sz w:val="24"/>
        </w:rPr>
        <w:t>цен</w:t>
      </w:r>
      <w:r w:rsidR="00A61522" w:rsidRPr="00B60F1A">
        <w:rPr>
          <w:sz w:val="24"/>
        </w:rPr>
        <w:t xml:space="preserve"> </w:t>
      </w:r>
      <w:r w:rsidR="008F7C0F" w:rsidRPr="00B60F1A">
        <w:rPr>
          <w:sz w:val="24"/>
        </w:rPr>
        <w:t xml:space="preserve">Открытый электронный запрос цен </w:t>
      </w:r>
      <w:r w:rsidR="008F7C0F" w:rsidRPr="004466B4">
        <w:rPr>
          <w:b/>
          <w:sz w:val="24"/>
        </w:rPr>
        <w:t>«</w:t>
      </w:r>
      <w:r w:rsidR="008F7C0F">
        <w:rPr>
          <w:b/>
          <w:sz w:val="24"/>
        </w:rPr>
        <w:t>Разъединители, запчасти к разъединителям</w:t>
      </w:r>
      <w:r w:rsidR="008F7C0F" w:rsidRPr="004466B4">
        <w:rPr>
          <w:b/>
          <w:sz w:val="24"/>
        </w:rPr>
        <w:t xml:space="preserve">» </w:t>
      </w:r>
      <w:r w:rsidR="008F7C0F" w:rsidRPr="008B6E50">
        <w:rPr>
          <w:bCs/>
          <w:sz w:val="24"/>
        </w:rPr>
        <w:t>для нужд филиал</w:t>
      </w:r>
      <w:r w:rsidR="008F7C0F">
        <w:rPr>
          <w:bCs/>
          <w:sz w:val="24"/>
        </w:rPr>
        <w:t>а</w:t>
      </w:r>
      <w:r w:rsidR="008F7C0F" w:rsidRPr="008B6E50">
        <w:rPr>
          <w:bCs/>
          <w:sz w:val="24"/>
        </w:rPr>
        <w:t xml:space="preserve"> ОАО «ДРСК» «</w:t>
      </w:r>
      <w:r w:rsidR="008F7C0F">
        <w:rPr>
          <w:bCs/>
          <w:sz w:val="24"/>
        </w:rPr>
        <w:t>Приморские электрические сети».</w:t>
      </w:r>
    </w:p>
    <w:p w:rsidR="008F7C0F" w:rsidRPr="00B60F1A" w:rsidRDefault="008F7C0F" w:rsidP="008F7C0F">
      <w:pPr>
        <w:pStyle w:val="a7"/>
        <w:spacing w:before="0" w:line="240" w:lineRule="auto"/>
        <w:rPr>
          <w:sz w:val="24"/>
        </w:rPr>
      </w:pPr>
      <w:r w:rsidRPr="00B60F1A">
        <w:rPr>
          <w:sz w:val="24"/>
        </w:rPr>
        <w:t>Основание для проведения закупки: ГКПЗ 2014 г.</w:t>
      </w:r>
      <w:r>
        <w:rPr>
          <w:sz w:val="24"/>
        </w:rPr>
        <w:t xml:space="preserve"> закупка № 1451</w:t>
      </w:r>
      <w:r w:rsidRPr="00B60F1A">
        <w:rPr>
          <w:sz w:val="24"/>
        </w:rPr>
        <w:t xml:space="preserve"> раздел </w:t>
      </w:r>
      <w:r>
        <w:rPr>
          <w:sz w:val="24"/>
        </w:rPr>
        <w:t>1.2</w:t>
      </w:r>
      <w:r w:rsidRPr="00B60F1A">
        <w:rPr>
          <w:sz w:val="24"/>
        </w:rPr>
        <w:t>.</w:t>
      </w:r>
    </w:p>
    <w:p w:rsidR="008F7C0F" w:rsidRDefault="008F7C0F" w:rsidP="008F7C0F">
      <w:pPr>
        <w:pStyle w:val="a7"/>
        <w:spacing w:before="0" w:line="240" w:lineRule="auto"/>
        <w:rPr>
          <w:b/>
          <w:i/>
          <w:sz w:val="24"/>
        </w:rPr>
      </w:pPr>
      <w:r w:rsidRPr="00C508CB">
        <w:rPr>
          <w:sz w:val="24"/>
        </w:rPr>
        <w:t>Планируемая стоимост</w:t>
      </w:r>
      <w:r>
        <w:rPr>
          <w:sz w:val="24"/>
        </w:rPr>
        <w:t>ь закупки в соответствии с ГКПЗ</w:t>
      </w:r>
      <w:r w:rsidRPr="00C508CB">
        <w:rPr>
          <w:sz w:val="24"/>
        </w:rPr>
        <w:t xml:space="preserve">: </w:t>
      </w:r>
      <w:r w:rsidRPr="00997AF7">
        <w:rPr>
          <w:b/>
          <w:i/>
          <w:sz w:val="24"/>
        </w:rPr>
        <w:t>1 006 739,00 руб</w:t>
      </w:r>
      <w:r w:rsidRPr="00CA6C72">
        <w:rPr>
          <w:b/>
          <w:i/>
          <w:sz w:val="24"/>
        </w:rPr>
        <w:t>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</w:p>
    <w:p w:rsidR="008F7C0F" w:rsidRPr="001F5EB6" w:rsidRDefault="008F7C0F" w:rsidP="008F7C0F">
      <w:pPr>
        <w:pStyle w:val="a7"/>
        <w:spacing w:before="0" w:line="240" w:lineRule="auto"/>
        <w:rPr>
          <w:sz w:val="24"/>
        </w:rPr>
      </w:pPr>
      <w:r w:rsidRPr="001F5EB6">
        <w:rPr>
          <w:sz w:val="24"/>
        </w:rPr>
        <w:t>Указание о проведении закупки от 28.02.2014 № 37</w:t>
      </w:r>
    </w:p>
    <w:p w:rsidR="00E37973" w:rsidRPr="00BB7A25" w:rsidRDefault="00E37973" w:rsidP="008F7C0F">
      <w:pPr>
        <w:spacing w:line="240" w:lineRule="auto"/>
        <w:ind w:firstLine="0"/>
        <w:rPr>
          <w:sz w:val="24"/>
        </w:rPr>
      </w:pPr>
      <w:r w:rsidRPr="00BB7A25">
        <w:rPr>
          <w:sz w:val="24"/>
        </w:rPr>
        <w:t>Форма голосования членов Закупочной комиссии: очно-заочная.</w:t>
      </w:r>
    </w:p>
    <w:p w:rsidR="00983EC3" w:rsidRDefault="00983EC3" w:rsidP="00EA248D">
      <w:pPr>
        <w:pStyle w:val="21"/>
        <w:ind w:firstLine="0"/>
        <w:rPr>
          <w:b/>
          <w:bCs/>
          <w:caps/>
          <w:sz w:val="24"/>
        </w:rPr>
      </w:pPr>
    </w:p>
    <w:p w:rsidR="00D65BC7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5B198A">
        <w:rPr>
          <w:b/>
          <w:bCs/>
          <w:caps/>
          <w:sz w:val="24"/>
        </w:rPr>
        <w:t>ПРИСУТСТВОВАЛИ:</w:t>
      </w:r>
      <w:r w:rsidR="00D65BC7">
        <w:rPr>
          <w:b/>
          <w:bCs/>
          <w:caps/>
          <w:sz w:val="24"/>
        </w:rPr>
        <w:t xml:space="preserve"> </w:t>
      </w:r>
    </w:p>
    <w:p w:rsidR="003C690B" w:rsidRDefault="003C690B" w:rsidP="00E02375">
      <w:pPr>
        <w:pStyle w:val="21"/>
        <w:rPr>
          <w:b/>
          <w:bCs/>
          <w:color w:val="000000"/>
          <w:sz w:val="24"/>
        </w:rPr>
      </w:pPr>
      <w:r w:rsidRPr="00BB7A25">
        <w:rPr>
          <w:sz w:val="24"/>
        </w:rPr>
        <w:t xml:space="preserve">На заседании </w:t>
      </w:r>
      <w:r w:rsidR="00252B9E" w:rsidRPr="00BB7A25">
        <w:rPr>
          <w:sz w:val="24"/>
        </w:rPr>
        <w:t xml:space="preserve">присутствовали </w:t>
      </w:r>
      <w:r w:rsidR="00600912">
        <w:rPr>
          <w:sz w:val="24"/>
        </w:rPr>
        <w:t>8</w:t>
      </w:r>
      <w:r w:rsidR="001F2E0A" w:rsidRPr="00BB7A25">
        <w:rPr>
          <w:sz w:val="24"/>
        </w:rPr>
        <w:t xml:space="preserve"> </w:t>
      </w:r>
      <w:r w:rsidR="00252B9E" w:rsidRPr="00BB7A25">
        <w:rPr>
          <w:sz w:val="24"/>
        </w:rPr>
        <w:t xml:space="preserve">членов </w:t>
      </w:r>
      <w:r w:rsidRPr="00BB7A25">
        <w:rPr>
          <w:sz w:val="24"/>
        </w:rPr>
        <w:t>Закупочной комиссии 2 уровня</w:t>
      </w:r>
      <w:r w:rsidR="00252B9E" w:rsidRPr="00BB7A25">
        <w:rPr>
          <w:sz w:val="24"/>
        </w:rPr>
        <w:t>.</w:t>
      </w:r>
      <w:r w:rsidRPr="00BB7A25">
        <w:rPr>
          <w:b/>
          <w:bCs/>
          <w:color w:val="000000"/>
          <w:sz w:val="24"/>
        </w:rPr>
        <w:t xml:space="preserve"> </w:t>
      </w:r>
    </w:p>
    <w:p w:rsidR="00654731" w:rsidRDefault="00654731" w:rsidP="00E02375">
      <w:pPr>
        <w:pStyle w:val="21"/>
        <w:rPr>
          <w:b/>
          <w:bCs/>
          <w:color w:val="000000"/>
          <w:sz w:val="24"/>
        </w:rPr>
      </w:pPr>
    </w:p>
    <w:p w:rsidR="00581D92" w:rsidRPr="00BB7A25" w:rsidRDefault="00581D92" w:rsidP="00EA248D">
      <w:pPr>
        <w:pStyle w:val="21"/>
        <w:ind w:firstLine="0"/>
        <w:rPr>
          <w:b/>
          <w:caps/>
          <w:sz w:val="24"/>
        </w:rPr>
      </w:pPr>
      <w:r w:rsidRPr="00BB7A2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D5763" w:rsidRDefault="000552A8" w:rsidP="00AF4C33">
      <w:pPr>
        <w:pStyle w:val="21"/>
        <w:numPr>
          <w:ilvl w:val="0"/>
          <w:numId w:val="22"/>
        </w:numPr>
        <w:jc w:val="left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предложений</w:t>
      </w:r>
      <w:r w:rsidR="008F7C0F">
        <w:rPr>
          <w:bCs/>
          <w:i/>
          <w:iCs/>
          <w:sz w:val="24"/>
        </w:rPr>
        <w:t xml:space="preserve"> ООО «Электроаппарат»</w:t>
      </w:r>
      <w:r>
        <w:rPr>
          <w:bCs/>
          <w:i/>
          <w:iCs/>
          <w:sz w:val="24"/>
        </w:rPr>
        <w:t xml:space="preserve">, ООО </w:t>
      </w:r>
      <w:r w:rsidR="008F7C0F">
        <w:rPr>
          <w:bCs/>
          <w:i/>
          <w:iCs/>
          <w:sz w:val="24"/>
        </w:rPr>
        <w:t xml:space="preserve">УК «Радиан» </w:t>
      </w:r>
      <w:r w:rsidR="004D5763" w:rsidRPr="004D5763">
        <w:rPr>
          <w:bCs/>
          <w:i/>
          <w:iCs/>
          <w:sz w:val="24"/>
        </w:rPr>
        <w:t>несоответствующ</w:t>
      </w:r>
      <w:r w:rsidR="004D5763">
        <w:rPr>
          <w:bCs/>
          <w:i/>
          <w:iCs/>
          <w:sz w:val="24"/>
        </w:rPr>
        <w:t>им</w:t>
      </w:r>
      <w:r>
        <w:rPr>
          <w:bCs/>
          <w:i/>
          <w:iCs/>
          <w:sz w:val="24"/>
        </w:rPr>
        <w:t>и</w:t>
      </w:r>
      <w:r w:rsidR="00AB611E" w:rsidRPr="004D5763">
        <w:rPr>
          <w:bCs/>
          <w:i/>
          <w:iCs/>
          <w:sz w:val="24"/>
        </w:rPr>
        <w:t xml:space="preserve"> условиям закупки</w:t>
      </w:r>
      <w:r w:rsidR="004D5763">
        <w:rPr>
          <w:bCs/>
          <w:i/>
          <w:iCs/>
          <w:sz w:val="24"/>
        </w:rPr>
        <w:t xml:space="preserve"> </w:t>
      </w:r>
    </w:p>
    <w:p w:rsidR="00CE34BE" w:rsidRDefault="004D5763" w:rsidP="00CE34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 w:rsidR="00581D92" w:rsidRPr="004D5763">
        <w:rPr>
          <w:bCs/>
          <w:i/>
          <w:iCs/>
          <w:sz w:val="24"/>
        </w:rPr>
        <w:t>признании предложений соответствующи</w:t>
      </w:r>
      <w:r w:rsidR="00B13C1B" w:rsidRPr="004D5763">
        <w:rPr>
          <w:bCs/>
          <w:i/>
          <w:iCs/>
          <w:sz w:val="24"/>
        </w:rPr>
        <w:t>е</w:t>
      </w:r>
      <w:r w:rsidR="00581D92" w:rsidRPr="004D5763">
        <w:rPr>
          <w:bCs/>
          <w:i/>
          <w:iCs/>
          <w:sz w:val="24"/>
        </w:rPr>
        <w:t xml:space="preserve"> условиям закупки</w:t>
      </w:r>
    </w:p>
    <w:p w:rsidR="004D5763" w:rsidRDefault="00581D92" w:rsidP="00CE34B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proofErr w:type="gramStart"/>
      <w:r w:rsidRPr="00CE34BE">
        <w:rPr>
          <w:bCs/>
          <w:i/>
          <w:iCs/>
          <w:sz w:val="24"/>
        </w:rPr>
        <w:t xml:space="preserve">О </w:t>
      </w:r>
      <w:r w:rsidR="00CE34BE" w:rsidRPr="00CE34BE">
        <w:rPr>
          <w:bCs/>
          <w:i/>
          <w:iCs/>
          <w:sz w:val="24"/>
        </w:rPr>
        <w:t xml:space="preserve">предварительной </w:t>
      </w:r>
      <w:r w:rsidRPr="00CE34BE">
        <w:rPr>
          <w:bCs/>
          <w:i/>
          <w:iCs/>
          <w:sz w:val="24"/>
        </w:rPr>
        <w:t xml:space="preserve">ранжировке </w:t>
      </w:r>
      <w:r w:rsidR="00A047DC">
        <w:rPr>
          <w:bCs/>
          <w:i/>
          <w:iCs/>
          <w:sz w:val="24"/>
        </w:rPr>
        <w:t>предложений Участников закупки</w:t>
      </w:r>
      <w:r w:rsidRPr="00CE34BE">
        <w:rPr>
          <w:bCs/>
          <w:i/>
          <w:iCs/>
          <w:sz w:val="24"/>
        </w:rPr>
        <w:t xml:space="preserve"> </w:t>
      </w:r>
      <w:proofErr w:type="gramEnd"/>
    </w:p>
    <w:p w:rsidR="00654731" w:rsidRDefault="00654731" w:rsidP="00654731">
      <w:pPr>
        <w:pStyle w:val="21"/>
        <w:ind w:left="284" w:firstLine="0"/>
        <w:rPr>
          <w:bCs/>
          <w:i/>
          <w:iCs/>
          <w:sz w:val="24"/>
        </w:rPr>
      </w:pPr>
    </w:p>
    <w:p w:rsidR="00581D92" w:rsidRPr="00BB7A25" w:rsidRDefault="00581D92" w:rsidP="00EA248D">
      <w:pPr>
        <w:spacing w:line="240" w:lineRule="auto"/>
        <w:ind w:firstLine="0"/>
        <w:rPr>
          <w:b/>
          <w:sz w:val="24"/>
          <w:szCs w:val="24"/>
        </w:rPr>
      </w:pPr>
      <w:r w:rsidRPr="00BB7A25">
        <w:rPr>
          <w:b/>
          <w:sz w:val="24"/>
          <w:szCs w:val="24"/>
        </w:rPr>
        <w:t>РАССМАТРИВАЕМЫЕ ДОКУМЕНТЫ:</w:t>
      </w:r>
    </w:p>
    <w:p w:rsidR="00581D92" w:rsidRPr="00BB7A25" w:rsidRDefault="00581D92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 xml:space="preserve">Протокол вскрытия конвертов </w:t>
      </w:r>
    </w:p>
    <w:p w:rsidR="00581D92" w:rsidRPr="00BB7A25" w:rsidRDefault="00A047DC" w:rsidP="00EA248D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Индивидуальные заключения</w:t>
      </w:r>
      <w:r w:rsidR="00581D92" w:rsidRPr="00BB7A25">
        <w:rPr>
          <w:sz w:val="24"/>
          <w:szCs w:val="24"/>
        </w:rPr>
        <w:t xml:space="preserve"> Моторин</w:t>
      </w:r>
      <w:r w:rsidR="00674B2F">
        <w:rPr>
          <w:sz w:val="24"/>
          <w:szCs w:val="24"/>
        </w:rPr>
        <w:t>ой</w:t>
      </w:r>
      <w:r w:rsidR="00581D92" w:rsidRPr="00BB7A25">
        <w:rPr>
          <w:sz w:val="24"/>
          <w:szCs w:val="24"/>
        </w:rPr>
        <w:t xml:space="preserve"> О.А.</w:t>
      </w:r>
      <w:r w:rsidR="00CE34BE">
        <w:rPr>
          <w:sz w:val="24"/>
          <w:szCs w:val="24"/>
        </w:rPr>
        <w:t>,</w:t>
      </w:r>
      <w:r w:rsidR="000552A8">
        <w:rPr>
          <w:sz w:val="24"/>
          <w:szCs w:val="24"/>
        </w:rPr>
        <w:t xml:space="preserve"> </w:t>
      </w:r>
      <w:r w:rsidR="008F7C0F">
        <w:rPr>
          <w:sz w:val="24"/>
          <w:szCs w:val="24"/>
        </w:rPr>
        <w:t>Моториной О.П.</w:t>
      </w:r>
      <w:r w:rsidR="000552A8">
        <w:rPr>
          <w:sz w:val="24"/>
          <w:szCs w:val="24"/>
        </w:rPr>
        <w:t>,</w:t>
      </w:r>
      <w:r w:rsidR="00CE34BE">
        <w:rPr>
          <w:sz w:val="24"/>
          <w:szCs w:val="24"/>
        </w:rPr>
        <w:t xml:space="preserve"> Лаптева И.А.</w:t>
      </w:r>
    </w:p>
    <w:p w:rsidR="00EA248D" w:rsidRDefault="00EA248D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AB611E" w:rsidRPr="008F7C0F" w:rsidRDefault="000552A8" w:rsidP="00AB611E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</w:t>
      </w:r>
      <w:r w:rsidRPr="000552A8">
        <w:rPr>
          <w:b/>
          <w:bCs/>
          <w:i/>
          <w:iCs/>
          <w:sz w:val="24"/>
        </w:rPr>
        <w:t xml:space="preserve">О признании предложений </w:t>
      </w:r>
      <w:r w:rsidR="008F7C0F" w:rsidRPr="008F7C0F">
        <w:rPr>
          <w:b/>
          <w:bCs/>
          <w:i/>
          <w:iCs/>
          <w:sz w:val="24"/>
        </w:rPr>
        <w:t xml:space="preserve">ООО «Электроаппарат», ООО УК «Радиан» </w:t>
      </w:r>
      <w:r w:rsidRPr="008F7C0F">
        <w:rPr>
          <w:b/>
          <w:bCs/>
          <w:i/>
          <w:iCs/>
          <w:sz w:val="24"/>
        </w:rPr>
        <w:t xml:space="preserve">  несоответствующими условиям закупки»</w:t>
      </w:r>
    </w:p>
    <w:p w:rsidR="00AB611E" w:rsidRPr="004820EA" w:rsidRDefault="00AB611E" w:rsidP="00AB611E">
      <w:pPr>
        <w:spacing w:line="240" w:lineRule="auto"/>
        <w:rPr>
          <w:sz w:val="24"/>
          <w:szCs w:val="24"/>
        </w:rPr>
      </w:pPr>
      <w:r w:rsidRPr="004820EA">
        <w:rPr>
          <w:sz w:val="24"/>
          <w:szCs w:val="24"/>
        </w:rPr>
        <w:t>ОТМЕТИЛИ:</w:t>
      </w:r>
    </w:p>
    <w:p w:rsidR="004820EA" w:rsidRDefault="004820EA" w:rsidP="004820EA">
      <w:pPr>
        <w:spacing w:line="240" w:lineRule="auto"/>
        <w:rPr>
          <w:sz w:val="24"/>
          <w:szCs w:val="24"/>
        </w:rPr>
      </w:pPr>
      <w:r w:rsidRPr="004820EA">
        <w:rPr>
          <w:sz w:val="24"/>
          <w:szCs w:val="24"/>
        </w:rPr>
        <w:t xml:space="preserve">Предложение </w:t>
      </w:r>
      <w:r w:rsidR="008F7C0F" w:rsidRPr="008F7C0F">
        <w:rPr>
          <w:b/>
          <w:bCs/>
          <w:i/>
          <w:iCs/>
          <w:sz w:val="24"/>
        </w:rPr>
        <w:t xml:space="preserve">ООО «Электроаппарат» </w:t>
      </w:r>
      <w:r w:rsidR="002D7A1A" w:rsidRPr="002D7A1A">
        <w:rPr>
          <w:bCs/>
          <w:iCs/>
          <w:sz w:val="24"/>
        </w:rPr>
        <w:t>(ц</w:t>
      </w:r>
      <w:r w:rsidR="002D7A1A" w:rsidRPr="002D7A1A">
        <w:rPr>
          <w:sz w:val="24"/>
          <w:szCs w:val="24"/>
        </w:rPr>
        <w:t>ена:</w:t>
      </w:r>
      <w:r w:rsidR="002D7A1A" w:rsidRPr="00997AF7">
        <w:rPr>
          <w:sz w:val="24"/>
          <w:szCs w:val="24"/>
        </w:rPr>
        <w:t xml:space="preserve"> </w:t>
      </w:r>
      <w:r w:rsidR="002D7A1A" w:rsidRPr="00997AF7">
        <w:rPr>
          <w:b/>
          <w:sz w:val="24"/>
          <w:szCs w:val="24"/>
        </w:rPr>
        <w:t>727 248,00</w:t>
      </w:r>
      <w:r w:rsidR="002D7A1A" w:rsidRPr="00997AF7">
        <w:rPr>
          <w:sz w:val="24"/>
          <w:szCs w:val="24"/>
        </w:rPr>
        <w:t> руб.</w:t>
      </w:r>
      <w:r w:rsidR="002D7A1A">
        <w:rPr>
          <w:sz w:val="24"/>
          <w:szCs w:val="24"/>
        </w:rPr>
        <w:t xml:space="preserve"> </w:t>
      </w:r>
      <w:r w:rsidR="002D7A1A" w:rsidRPr="00997AF7">
        <w:rPr>
          <w:sz w:val="24"/>
          <w:szCs w:val="24"/>
        </w:rPr>
        <w:t>без НДС)</w:t>
      </w:r>
      <w:r w:rsidR="002D7A1A">
        <w:rPr>
          <w:sz w:val="24"/>
          <w:szCs w:val="24"/>
        </w:rPr>
        <w:t xml:space="preserve"> </w:t>
      </w:r>
      <w:r w:rsidR="00AD12A4">
        <w:rPr>
          <w:sz w:val="24"/>
          <w:szCs w:val="24"/>
        </w:rPr>
        <w:t>не соответству</w:t>
      </w:r>
      <w:r w:rsidR="00310DC5">
        <w:rPr>
          <w:sz w:val="24"/>
          <w:szCs w:val="24"/>
        </w:rPr>
        <w:t>е</w:t>
      </w:r>
      <w:r w:rsidR="00AD12A4">
        <w:rPr>
          <w:sz w:val="24"/>
          <w:szCs w:val="24"/>
        </w:rPr>
        <w:t xml:space="preserve">т </w:t>
      </w:r>
      <w:r w:rsidR="008F7C0F">
        <w:rPr>
          <w:sz w:val="24"/>
          <w:szCs w:val="24"/>
        </w:rPr>
        <w:t>п.3.1</w:t>
      </w:r>
      <w:r w:rsidR="00456A10">
        <w:rPr>
          <w:sz w:val="24"/>
          <w:szCs w:val="24"/>
        </w:rPr>
        <w:t xml:space="preserve"> Технического задания. </w:t>
      </w:r>
      <w:r w:rsidR="00654731">
        <w:rPr>
          <w:bCs/>
          <w:color w:val="000000"/>
          <w:sz w:val="26"/>
          <w:szCs w:val="26"/>
        </w:rPr>
        <w:t xml:space="preserve">Участник предложил к поставке продукцию ЗАО «ЗЭТО» через официального дилера </w:t>
      </w:r>
      <w:r w:rsidR="00654731">
        <w:rPr>
          <w:sz w:val="26"/>
          <w:szCs w:val="26"/>
        </w:rPr>
        <w:t>ООО «</w:t>
      </w:r>
      <w:proofErr w:type="spellStart"/>
      <w:r w:rsidR="00654731">
        <w:rPr>
          <w:sz w:val="26"/>
          <w:szCs w:val="26"/>
        </w:rPr>
        <w:t>КонтактЭнергосбыт</w:t>
      </w:r>
      <w:proofErr w:type="spellEnd"/>
      <w:r w:rsidR="00654731">
        <w:rPr>
          <w:sz w:val="26"/>
          <w:szCs w:val="26"/>
        </w:rPr>
        <w:t>»</w:t>
      </w:r>
      <w:r w:rsidR="00654731">
        <w:rPr>
          <w:bCs/>
          <w:color w:val="000000"/>
          <w:sz w:val="26"/>
          <w:szCs w:val="26"/>
        </w:rPr>
        <w:t xml:space="preserve">, однако производитель ЗАО «ЗЭТО» не подтвердил полномочия </w:t>
      </w:r>
      <w:r w:rsidR="00654731">
        <w:rPr>
          <w:sz w:val="26"/>
          <w:szCs w:val="26"/>
        </w:rPr>
        <w:t>ООО «</w:t>
      </w:r>
      <w:proofErr w:type="spellStart"/>
      <w:r w:rsidR="00654731">
        <w:rPr>
          <w:sz w:val="26"/>
          <w:szCs w:val="26"/>
        </w:rPr>
        <w:t>КонтактЭнергосбыт</w:t>
      </w:r>
      <w:proofErr w:type="spellEnd"/>
      <w:r w:rsidR="00654731">
        <w:rPr>
          <w:sz w:val="26"/>
          <w:szCs w:val="26"/>
        </w:rPr>
        <w:t>» представлять интересы производителя в данном конкурсе.</w:t>
      </w:r>
    </w:p>
    <w:p w:rsidR="000E2F70" w:rsidRDefault="00456A10" w:rsidP="000E2F7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Предложение </w:t>
      </w:r>
      <w:r w:rsidR="008F7C0F" w:rsidRPr="008F7C0F">
        <w:rPr>
          <w:b/>
          <w:bCs/>
          <w:i/>
          <w:iCs/>
          <w:sz w:val="24"/>
        </w:rPr>
        <w:t>ООО УК «Радиан»</w:t>
      </w:r>
      <w:r w:rsidR="008F7C0F">
        <w:rPr>
          <w:bCs/>
          <w:i/>
          <w:iCs/>
          <w:sz w:val="24"/>
        </w:rPr>
        <w:t xml:space="preserve"> </w:t>
      </w:r>
      <w:r w:rsidR="002D7A1A" w:rsidRPr="002D7A1A">
        <w:rPr>
          <w:bCs/>
          <w:iCs/>
          <w:sz w:val="24"/>
        </w:rPr>
        <w:t>(ц</w:t>
      </w:r>
      <w:r w:rsidR="002D7A1A" w:rsidRPr="002D7A1A">
        <w:rPr>
          <w:sz w:val="24"/>
          <w:szCs w:val="24"/>
        </w:rPr>
        <w:t>ена</w:t>
      </w:r>
      <w:r w:rsidR="002D7A1A" w:rsidRPr="00997AF7">
        <w:rPr>
          <w:sz w:val="24"/>
          <w:szCs w:val="24"/>
        </w:rPr>
        <w:t xml:space="preserve">: </w:t>
      </w:r>
      <w:r w:rsidR="002D7A1A" w:rsidRPr="00997AF7">
        <w:rPr>
          <w:b/>
          <w:sz w:val="24"/>
          <w:szCs w:val="24"/>
        </w:rPr>
        <w:t>872 881,36</w:t>
      </w:r>
      <w:r w:rsidR="002D7A1A" w:rsidRPr="00997AF7">
        <w:rPr>
          <w:sz w:val="24"/>
          <w:szCs w:val="24"/>
        </w:rPr>
        <w:t xml:space="preserve"> руб. </w:t>
      </w:r>
      <w:r w:rsidR="002D7A1A">
        <w:rPr>
          <w:sz w:val="24"/>
          <w:szCs w:val="24"/>
        </w:rPr>
        <w:t xml:space="preserve">без </w:t>
      </w:r>
      <w:r w:rsidR="002D7A1A" w:rsidRPr="00997AF7">
        <w:rPr>
          <w:sz w:val="24"/>
          <w:szCs w:val="24"/>
        </w:rPr>
        <w:t>НДС)</w:t>
      </w:r>
      <w:r w:rsidR="002D7A1A">
        <w:rPr>
          <w:sz w:val="24"/>
          <w:szCs w:val="24"/>
        </w:rPr>
        <w:t xml:space="preserve"> </w:t>
      </w:r>
      <w:r>
        <w:rPr>
          <w:sz w:val="24"/>
          <w:szCs w:val="24"/>
        </w:rPr>
        <w:t>не соответству</w:t>
      </w:r>
      <w:r w:rsidR="00310DC5">
        <w:rPr>
          <w:sz w:val="24"/>
          <w:szCs w:val="24"/>
        </w:rPr>
        <w:t>е</w:t>
      </w:r>
      <w:r>
        <w:rPr>
          <w:sz w:val="24"/>
          <w:szCs w:val="24"/>
        </w:rPr>
        <w:t>т</w:t>
      </w:r>
      <w:r w:rsidR="008F7C0F">
        <w:rPr>
          <w:sz w:val="24"/>
          <w:szCs w:val="24"/>
        </w:rPr>
        <w:t xml:space="preserve"> </w:t>
      </w:r>
      <w:r w:rsidR="00654731">
        <w:rPr>
          <w:sz w:val="24"/>
          <w:szCs w:val="24"/>
        </w:rPr>
        <w:t xml:space="preserve">п. 2.6 Технического задания, так как не были предоставлены </w:t>
      </w:r>
      <w:r w:rsidR="008F7C0F" w:rsidRPr="008F7C0F">
        <w:rPr>
          <w:sz w:val="24"/>
          <w:szCs w:val="24"/>
        </w:rPr>
        <w:t>сертификаты или декларации соответствия ГОСТ</w:t>
      </w:r>
      <w:r w:rsidR="00654731">
        <w:rPr>
          <w:sz w:val="24"/>
          <w:szCs w:val="24"/>
        </w:rPr>
        <w:t xml:space="preserve">. </w:t>
      </w:r>
      <w:r w:rsidR="008F7C0F" w:rsidRPr="008F7C0F">
        <w:rPr>
          <w:sz w:val="24"/>
          <w:szCs w:val="24"/>
        </w:rPr>
        <w:t>Указанный ООО УК «Радиан» производитель ООО «</w:t>
      </w:r>
      <w:proofErr w:type="spellStart"/>
      <w:r w:rsidR="008F7C0F" w:rsidRPr="008F7C0F">
        <w:rPr>
          <w:sz w:val="24"/>
          <w:szCs w:val="24"/>
        </w:rPr>
        <w:t>СоюзЭнергоКомплект</w:t>
      </w:r>
      <w:proofErr w:type="spellEnd"/>
      <w:r w:rsidR="008F7C0F" w:rsidRPr="008F7C0F">
        <w:rPr>
          <w:sz w:val="24"/>
          <w:szCs w:val="24"/>
        </w:rPr>
        <w:t xml:space="preserve">», не является производителем номенклатурной группы закупки, что не соответствует п. 3.1 </w:t>
      </w:r>
      <w:r w:rsidR="00654731">
        <w:rPr>
          <w:sz w:val="24"/>
          <w:szCs w:val="24"/>
        </w:rPr>
        <w:t>Технического задания.</w:t>
      </w:r>
    </w:p>
    <w:p w:rsidR="00456A10" w:rsidRDefault="00456A10" w:rsidP="00456A10">
      <w:pPr>
        <w:spacing w:line="240" w:lineRule="auto"/>
        <w:rPr>
          <w:b/>
          <w:bCs/>
          <w:i/>
          <w:iCs/>
          <w:sz w:val="24"/>
          <w:szCs w:val="24"/>
        </w:rPr>
      </w:pPr>
    </w:p>
    <w:p w:rsidR="00581D92" w:rsidRPr="004820EA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4820EA">
        <w:rPr>
          <w:b/>
          <w:bCs/>
          <w:i/>
          <w:iCs/>
          <w:sz w:val="24"/>
        </w:rPr>
        <w:t xml:space="preserve">ВОПРОС </w:t>
      </w:r>
      <w:r w:rsidR="00654731">
        <w:rPr>
          <w:b/>
          <w:bCs/>
          <w:i/>
          <w:iCs/>
          <w:sz w:val="24"/>
        </w:rPr>
        <w:t xml:space="preserve">2 </w:t>
      </w:r>
      <w:r w:rsidRPr="004820EA">
        <w:rPr>
          <w:b/>
          <w:bCs/>
          <w:i/>
          <w:iCs/>
          <w:sz w:val="24"/>
        </w:rPr>
        <w:t xml:space="preserve"> «О признании предложений соответствующи</w:t>
      </w:r>
      <w:r w:rsidR="00B13C1B" w:rsidRPr="004820EA">
        <w:rPr>
          <w:b/>
          <w:bCs/>
          <w:i/>
          <w:iCs/>
          <w:sz w:val="24"/>
        </w:rPr>
        <w:t>е</w:t>
      </w:r>
      <w:r w:rsidRPr="004820EA">
        <w:rPr>
          <w:b/>
          <w:bCs/>
          <w:i/>
          <w:iCs/>
          <w:sz w:val="24"/>
        </w:rPr>
        <w:t xml:space="preserve"> условиям закупки»</w:t>
      </w:r>
    </w:p>
    <w:p w:rsidR="00581D92" w:rsidRPr="004820EA" w:rsidRDefault="00581D92" w:rsidP="00581D92">
      <w:pPr>
        <w:spacing w:line="240" w:lineRule="auto"/>
        <w:rPr>
          <w:sz w:val="24"/>
          <w:szCs w:val="24"/>
        </w:rPr>
      </w:pPr>
      <w:r w:rsidRPr="004820EA">
        <w:rPr>
          <w:sz w:val="24"/>
          <w:szCs w:val="24"/>
        </w:rPr>
        <w:t>ОТМЕТИЛИ:</w:t>
      </w:r>
    </w:p>
    <w:p w:rsidR="00581D92" w:rsidRPr="00BB7A25" w:rsidRDefault="00581D92" w:rsidP="009341C9">
      <w:pPr>
        <w:spacing w:line="240" w:lineRule="auto"/>
        <w:rPr>
          <w:b/>
          <w:i/>
          <w:sz w:val="24"/>
          <w:szCs w:val="24"/>
        </w:rPr>
      </w:pPr>
      <w:r w:rsidRPr="00BB7A25">
        <w:rPr>
          <w:sz w:val="24"/>
          <w:szCs w:val="24"/>
        </w:rPr>
        <w:t xml:space="preserve">Предложения </w:t>
      </w:r>
      <w:r w:rsidR="00654731" w:rsidRPr="00654731">
        <w:rPr>
          <w:b/>
          <w:i/>
          <w:sz w:val="24"/>
          <w:szCs w:val="24"/>
        </w:rPr>
        <w:t>ООО «ВЭО», ООО «ЛЭП»</w:t>
      </w:r>
      <w:r w:rsidR="00654731">
        <w:rPr>
          <w:sz w:val="24"/>
          <w:szCs w:val="24"/>
        </w:rPr>
        <w:t xml:space="preserve"> </w:t>
      </w:r>
      <w:r w:rsidR="00BD28AA" w:rsidRPr="00BB7A25">
        <w:rPr>
          <w:sz w:val="24"/>
          <w:szCs w:val="24"/>
        </w:rPr>
        <w:t>п</w:t>
      </w:r>
      <w:r w:rsidRPr="00BB7A25">
        <w:rPr>
          <w:sz w:val="24"/>
          <w:szCs w:val="24"/>
        </w:rPr>
        <w:t>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A248D" w:rsidRDefault="00EA248D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proofErr w:type="gramStart"/>
      <w:r w:rsidRPr="007D6DF5">
        <w:rPr>
          <w:b/>
          <w:bCs/>
          <w:i/>
          <w:iCs/>
          <w:sz w:val="24"/>
        </w:rPr>
        <w:lastRenderedPageBreak/>
        <w:t xml:space="preserve">ВОПРОС </w:t>
      </w:r>
      <w:r w:rsidR="00654731">
        <w:rPr>
          <w:b/>
          <w:bCs/>
          <w:i/>
          <w:iCs/>
          <w:sz w:val="24"/>
        </w:rPr>
        <w:t>3</w:t>
      </w:r>
      <w:r w:rsidR="00A61522">
        <w:rPr>
          <w:b/>
          <w:bCs/>
          <w:i/>
          <w:iCs/>
          <w:sz w:val="24"/>
        </w:rPr>
        <w:t xml:space="preserve"> </w:t>
      </w:r>
      <w:r w:rsidR="005B198A">
        <w:rPr>
          <w:b/>
          <w:bCs/>
          <w:i/>
          <w:iCs/>
          <w:sz w:val="24"/>
        </w:rPr>
        <w:t xml:space="preserve"> «О </w:t>
      </w:r>
      <w:r w:rsidR="00CE34BE">
        <w:rPr>
          <w:b/>
          <w:bCs/>
          <w:i/>
          <w:iCs/>
          <w:sz w:val="24"/>
        </w:rPr>
        <w:t xml:space="preserve">предварительной </w:t>
      </w:r>
      <w:r w:rsidR="005B198A">
        <w:rPr>
          <w:b/>
          <w:bCs/>
          <w:i/>
          <w:iCs/>
          <w:sz w:val="24"/>
        </w:rPr>
        <w:t xml:space="preserve">ранжировке </w:t>
      </w:r>
      <w:r w:rsidRPr="007D6DF5">
        <w:rPr>
          <w:b/>
          <w:bCs/>
          <w:i/>
          <w:iCs/>
          <w:sz w:val="24"/>
        </w:rPr>
        <w:t xml:space="preserve"> </w:t>
      </w:r>
      <w:r w:rsidR="00CE34BE">
        <w:rPr>
          <w:b/>
          <w:bCs/>
          <w:i/>
          <w:iCs/>
          <w:sz w:val="24"/>
        </w:rPr>
        <w:t>предложений Участников закупки»</w:t>
      </w:r>
      <w:proofErr w:type="gramEnd"/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872CF1" w:rsidRDefault="00581D92" w:rsidP="000102F8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</w:t>
      </w:r>
      <w:r w:rsidR="004034A5">
        <w:rPr>
          <w:sz w:val="24"/>
          <w:szCs w:val="24"/>
        </w:rPr>
        <w:t xml:space="preserve">предварительно </w:t>
      </w:r>
      <w:r w:rsidRPr="007D6DF5">
        <w:rPr>
          <w:sz w:val="24"/>
          <w:szCs w:val="24"/>
        </w:rPr>
        <w:t xml:space="preserve">ранжировать предложения с 1 по </w:t>
      </w:r>
      <w:r w:rsidR="00654731">
        <w:rPr>
          <w:sz w:val="24"/>
          <w:szCs w:val="24"/>
        </w:rPr>
        <w:t>2</w:t>
      </w:r>
      <w:r w:rsidRPr="007D6DF5">
        <w:rPr>
          <w:sz w:val="24"/>
          <w:szCs w:val="24"/>
        </w:rPr>
        <w:t xml:space="preserve"> место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820"/>
        <w:gridCol w:w="4802"/>
      </w:tblGrid>
      <w:tr w:rsidR="00BB72C0" w:rsidRPr="00872CF1" w:rsidTr="000102F8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872CF1">
              <w:rPr>
                <w:b/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872CF1">
              <w:rPr>
                <w:b/>
                <w:i/>
                <w:snapToGrid/>
                <w:sz w:val="20"/>
                <w:lang w:eastAsia="en-US"/>
              </w:rPr>
              <w:t xml:space="preserve"> ранжировке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872CF1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72CF1">
              <w:rPr>
                <w:b/>
                <w:i/>
                <w:snapToGrid/>
                <w:sz w:val="20"/>
                <w:lang w:eastAsia="en-US"/>
              </w:rPr>
              <w:t>Цена заявки и иные существенные условия</w:t>
            </w:r>
          </w:p>
        </w:tc>
      </w:tr>
      <w:tr w:rsidR="00654731" w:rsidRPr="000102F8" w:rsidTr="005679A2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31" w:rsidRPr="000102F8" w:rsidRDefault="00654731" w:rsidP="00502A45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0102F8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31" w:rsidRPr="00997AF7" w:rsidRDefault="00654731" w:rsidP="005271E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7AF7">
              <w:rPr>
                <w:b/>
                <w:sz w:val="24"/>
                <w:szCs w:val="24"/>
              </w:rPr>
              <w:t>ООО "ВЭО"</w:t>
            </w:r>
            <w:r w:rsidRPr="00997AF7">
              <w:rPr>
                <w:sz w:val="24"/>
                <w:szCs w:val="24"/>
              </w:rPr>
              <w:t xml:space="preserve"> (680000 г. Хабаровск, ул. Дзержинского, 65, оф. 512)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31" w:rsidRDefault="00654731" w:rsidP="005271E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7AF7">
              <w:rPr>
                <w:sz w:val="24"/>
                <w:szCs w:val="24"/>
              </w:rPr>
              <w:t xml:space="preserve">Цена: </w:t>
            </w:r>
            <w:r w:rsidRPr="00997AF7">
              <w:rPr>
                <w:b/>
                <w:sz w:val="24"/>
                <w:szCs w:val="24"/>
              </w:rPr>
              <w:t>985 426,27</w:t>
            </w:r>
            <w:r w:rsidRPr="00997AF7">
              <w:rPr>
                <w:sz w:val="24"/>
                <w:szCs w:val="24"/>
              </w:rPr>
              <w:t> руб. (цена без НДС)</w:t>
            </w:r>
          </w:p>
          <w:p w:rsidR="00654731" w:rsidRPr="00587166" w:rsidRDefault="00654731" w:rsidP="005271E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sz w:val="24"/>
                <w:szCs w:val="24"/>
                <w:u w:val="single"/>
              </w:rPr>
              <w:t>Поставка:</w:t>
            </w:r>
            <w:r w:rsidRPr="00587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30.06.2014 (с правом преждевременной поставки)</w:t>
            </w:r>
          </w:p>
          <w:p w:rsidR="00654731" w:rsidRPr="00587166" w:rsidRDefault="00654731" w:rsidP="005271E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sz w:val="24"/>
                <w:szCs w:val="24"/>
                <w:u w:val="single"/>
              </w:rPr>
              <w:t>Условия оплаты:</w:t>
            </w:r>
            <w:r w:rsidRPr="00587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31.07.2014</w:t>
            </w:r>
          </w:p>
          <w:p w:rsidR="00654731" w:rsidRPr="00997AF7" w:rsidRDefault="00654731" w:rsidP="005271E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sz w:val="24"/>
                <w:szCs w:val="24"/>
                <w:u w:val="single"/>
              </w:rPr>
              <w:t>Гарантийный срок:</w:t>
            </w:r>
            <w:r w:rsidRPr="00587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запасные части к разъединителям  - 3 года; на остальное оборудование </w:t>
            </w:r>
            <w:r w:rsidRPr="00587166">
              <w:rPr>
                <w:sz w:val="24"/>
                <w:szCs w:val="24"/>
              </w:rPr>
              <w:t>5 лет</w:t>
            </w:r>
          </w:p>
        </w:tc>
      </w:tr>
      <w:tr w:rsidR="00654731" w:rsidRPr="000102F8" w:rsidTr="005679A2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31" w:rsidRPr="000102F8" w:rsidRDefault="00654731" w:rsidP="00502A45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0102F8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31" w:rsidRPr="00997AF7" w:rsidRDefault="00654731" w:rsidP="005271E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97AF7">
              <w:rPr>
                <w:b/>
                <w:sz w:val="24"/>
                <w:szCs w:val="24"/>
              </w:rPr>
              <w:t>ООО "ЛЭП"</w:t>
            </w:r>
            <w:r w:rsidRPr="00997AF7">
              <w:rPr>
                <w:sz w:val="24"/>
                <w:szCs w:val="24"/>
              </w:rPr>
              <w:t xml:space="preserve"> (Россия, 197227, г. Санкт-Петербург, Комендантский пр., д. 9, лит.</w:t>
            </w:r>
            <w:proofErr w:type="gramEnd"/>
            <w:r w:rsidRPr="00997AF7">
              <w:rPr>
                <w:sz w:val="24"/>
                <w:szCs w:val="24"/>
              </w:rPr>
              <w:t xml:space="preserve"> </w:t>
            </w:r>
            <w:proofErr w:type="gramStart"/>
            <w:r w:rsidRPr="00997AF7">
              <w:rPr>
                <w:sz w:val="24"/>
                <w:szCs w:val="24"/>
              </w:rPr>
              <w:t>А, пом. 2Н.)</w:t>
            </w:r>
            <w:proofErr w:type="gramEnd"/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31" w:rsidRDefault="00654731" w:rsidP="005271E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97AF7">
              <w:rPr>
                <w:sz w:val="24"/>
                <w:szCs w:val="24"/>
              </w:rPr>
              <w:t xml:space="preserve">Цена: </w:t>
            </w:r>
            <w:r w:rsidRPr="00997AF7">
              <w:rPr>
                <w:b/>
                <w:sz w:val="24"/>
                <w:szCs w:val="24"/>
              </w:rPr>
              <w:t>1 005 133,90</w:t>
            </w:r>
            <w:r w:rsidRPr="00997AF7">
              <w:rPr>
                <w:sz w:val="24"/>
                <w:szCs w:val="24"/>
              </w:rPr>
              <w:t> руб. (цена без НДС</w:t>
            </w:r>
            <w:proofErr w:type="gramEnd"/>
          </w:p>
          <w:p w:rsidR="00654731" w:rsidRPr="00587166" w:rsidRDefault="00654731" w:rsidP="005271E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sz w:val="24"/>
                <w:szCs w:val="24"/>
                <w:u w:val="single"/>
              </w:rPr>
              <w:t>Поставка:</w:t>
            </w:r>
            <w:r w:rsidRPr="00587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30.06.2014</w:t>
            </w:r>
          </w:p>
          <w:p w:rsidR="00654731" w:rsidRPr="00587166" w:rsidRDefault="00654731" w:rsidP="005271E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sz w:val="24"/>
                <w:szCs w:val="24"/>
                <w:u w:val="single"/>
              </w:rPr>
              <w:t>Условия оплаты:</w:t>
            </w:r>
            <w:r w:rsidRPr="00587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31.07.2014</w:t>
            </w:r>
          </w:p>
          <w:p w:rsidR="00654731" w:rsidRPr="00997AF7" w:rsidRDefault="00654731" w:rsidP="005271E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7166">
              <w:rPr>
                <w:sz w:val="24"/>
                <w:szCs w:val="24"/>
                <w:u w:val="single"/>
              </w:rPr>
              <w:t>Гарантийный срок:</w:t>
            </w:r>
            <w:r w:rsidRPr="005871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запасные части к разъединителям  - 3 года; на остальное оборудование </w:t>
            </w:r>
            <w:r w:rsidRPr="00587166">
              <w:rPr>
                <w:sz w:val="24"/>
                <w:szCs w:val="24"/>
              </w:rPr>
              <w:t>5 лет</w:t>
            </w:r>
          </w:p>
        </w:tc>
      </w:tr>
    </w:tbl>
    <w:p w:rsidR="00581D92" w:rsidRPr="00872CF1" w:rsidRDefault="00581D92" w:rsidP="00F75468">
      <w:pPr>
        <w:spacing w:line="240" w:lineRule="auto"/>
        <w:ind w:firstLine="0"/>
        <w:rPr>
          <w:b/>
          <w:sz w:val="24"/>
          <w:szCs w:val="24"/>
        </w:rPr>
      </w:pPr>
      <w:r w:rsidRPr="00872CF1">
        <w:rPr>
          <w:b/>
          <w:sz w:val="24"/>
          <w:szCs w:val="24"/>
        </w:rPr>
        <w:t>РЕШИЛИ:</w:t>
      </w:r>
    </w:p>
    <w:p w:rsidR="000102F8" w:rsidRPr="000102F8" w:rsidRDefault="007B45C9" w:rsidP="000102F8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8"/>
        <w:rPr>
          <w:bCs/>
          <w:iCs/>
          <w:sz w:val="24"/>
        </w:rPr>
      </w:pPr>
      <w:r w:rsidRPr="000102F8">
        <w:rPr>
          <w:sz w:val="24"/>
          <w:szCs w:val="24"/>
        </w:rPr>
        <w:t>Признать предложения</w:t>
      </w:r>
      <w:r w:rsidR="00872CF1" w:rsidRPr="000102F8">
        <w:rPr>
          <w:sz w:val="24"/>
          <w:szCs w:val="24"/>
        </w:rPr>
        <w:t xml:space="preserve"> </w:t>
      </w:r>
      <w:r w:rsidR="00654731" w:rsidRPr="008F7C0F">
        <w:rPr>
          <w:b/>
          <w:bCs/>
          <w:i/>
          <w:iCs/>
          <w:sz w:val="24"/>
        </w:rPr>
        <w:t xml:space="preserve">ООО «Электроаппарат», ООО УК «Радиан»   </w:t>
      </w:r>
      <w:r w:rsidR="00872CF1" w:rsidRPr="000102F8">
        <w:rPr>
          <w:bCs/>
          <w:iCs/>
          <w:sz w:val="24"/>
          <w:szCs w:val="24"/>
        </w:rPr>
        <w:t>не</w:t>
      </w:r>
      <w:r w:rsidR="00872CF1" w:rsidRPr="000102F8">
        <w:rPr>
          <w:sz w:val="24"/>
          <w:szCs w:val="24"/>
        </w:rPr>
        <w:t>соответствующим условиям закупки</w:t>
      </w:r>
      <w:r w:rsidR="000102F8" w:rsidRPr="000102F8">
        <w:rPr>
          <w:sz w:val="24"/>
          <w:szCs w:val="24"/>
        </w:rPr>
        <w:t>.</w:t>
      </w:r>
    </w:p>
    <w:p w:rsidR="00581D92" w:rsidRPr="00872CF1" w:rsidRDefault="00581D92" w:rsidP="00581D92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72CF1">
        <w:rPr>
          <w:sz w:val="24"/>
          <w:szCs w:val="24"/>
        </w:rPr>
        <w:t xml:space="preserve">Признать предложения </w:t>
      </w:r>
      <w:r w:rsidR="00654731" w:rsidRPr="00654731">
        <w:rPr>
          <w:b/>
          <w:i/>
          <w:sz w:val="24"/>
          <w:szCs w:val="24"/>
        </w:rPr>
        <w:t>ООО «ВЭО», ООО «ЛЭП»</w:t>
      </w:r>
      <w:r w:rsidR="00654731">
        <w:rPr>
          <w:sz w:val="24"/>
          <w:szCs w:val="24"/>
        </w:rPr>
        <w:t xml:space="preserve"> </w:t>
      </w:r>
      <w:r w:rsidR="00F716CC">
        <w:rPr>
          <w:b/>
          <w:sz w:val="24"/>
          <w:szCs w:val="24"/>
        </w:rPr>
        <w:t xml:space="preserve"> </w:t>
      </w:r>
      <w:r w:rsidRPr="00872CF1">
        <w:rPr>
          <w:sz w:val="24"/>
          <w:szCs w:val="24"/>
        </w:rPr>
        <w:t>соответствующи</w:t>
      </w:r>
      <w:r w:rsidR="00B13C1B" w:rsidRPr="00872CF1">
        <w:rPr>
          <w:sz w:val="24"/>
          <w:szCs w:val="24"/>
        </w:rPr>
        <w:t>е</w:t>
      </w:r>
      <w:r w:rsidRPr="00872CF1">
        <w:rPr>
          <w:sz w:val="24"/>
          <w:szCs w:val="24"/>
        </w:rPr>
        <w:t xml:space="preserve"> условиям закупки.</w:t>
      </w:r>
    </w:p>
    <w:p w:rsidR="00581D92" w:rsidRPr="00872CF1" w:rsidRDefault="00581D92" w:rsidP="00581D92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72CF1">
        <w:rPr>
          <w:sz w:val="24"/>
          <w:szCs w:val="24"/>
        </w:rPr>
        <w:t>Утвердить</w:t>
      </w:r>
      <w:r w:rsidR="00CE34BE">
        <w:rPr>
          <w:sz w:val="24"/>
          <w:szCs w:val="24"/>
        </w:rPr>
        <w:t xml:space="preserve"> </w:t>
      </w:r>
      <w:proofErr w:type="gramStart"/>
      <w:r w:rsidR="00CE34BE">
        <w:rPr>
          <w:sz w:val="24"/>
          <w:szCs w:val="24"/>
        </w:rPr>
        <w:t>предварительную</w:t>
      </w:r>
      <w:proofErr w:type="gramEnd"/>
      <w:r w:rsidRPr="00872CF1">
        <w:rPr>
          <w:sz w:val="24"/>
          <w:szCs w:val="24"/>
        </w:rPr>
        <w:t xml:space="preserve"> ранжировку предложений Участников с 1 по </w:t>
      </w:r>
      <w:r w:rsidR="00654731">
        <w:rPr>
          <w:sz w:val="24"/>
          <w:szCs w:val="24"/>
        </w:rPr>
        <w:t>2</w:t>
      </w:r>
      <w:r w:rsidRPr="00872CF1">
        <w:rPr>
          <w:sz w:val="24"/>
          <w:szCs w:val="24"/>
        </w:rPr>
        <w:t xml:space="preserve"> место:</w:t>
      </w:r>
    </w:p>
    <w:p w:rsidR="00654731" w:rsidRPr="00654731" w:rsidRDefault="00654731" w:rsidP="0065473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581D92" w:rsidRPr="00654731">
        <w:rPr>
          <w:sz w:val="24"/>
          <w:szCs w:val="24"/>
        </w:rPr>
        <w:t xml:space="preserve">место: </w:t>
      </w:r>
      <w:r w:rsidRPr="00654731">
        <w:rPr>
          <w:b/>
          <w:i/>
          <w:sz w:val="24"/>
          <w:szCs w:val="24"/>
        </w:rPr>
        <w:t>ООО «ВЭО»</w:t>
      </w:r>
      <w:r w:rsidRPr="00654731">
        <w:rPr>
          <w:sz w:val="24"/>
          <w:szCs w:val="24"/>
        </w:rPr>
        <w:t xml:space="preserve"> </w:t>
      </w:r>
    </w:p>
    <w:p w:rsidR="004820EA" w:rsidRPr="00654731" w:rsidRDefault="004820EA" w:rsidP="00654731">
      <w:pPr>
        <w:spacing w:line="240" w:lineRule="auto"/>
        <w:ind w:firstLine="0"/>
        <w:rPr>
          <w:b/>
          <w:i/>
          <w:sz w:val="24"/>
          <w:szCs w:val="24"/>
        </w:rPr>
      </w:pPr>
      <w:r w:rsidRPr="00654731">
        <w:rPr>
          <w:sz w:val="24"/>
          <w:szCs w:val="24"/>
        </w:rPr>
        <w:t>2 место</w:t>
      </w:r>
      <w:r w:rsidRPr="00654731">
        <w:rPr>
          <w:i/>
          <w:sz w:val="24"/>
          <w:szCs w:val="24"/>
        </w:rPr>
        <w:t xml:space="preserve">: </w:t>
      </w:r>
      <w:r w:rsidR="00654731" w:rsidRPr="00654731">
        <w:rPr>
          <w:b/>
          <w:bCs/>
          <w:i/>
          <w:sz w:val="24"/>
          <w:szCs w:val="24"/>
        </w:rPr>
        <w:t>ООО «ЛЭП»</w:t>
      </w:r>
    </w:p>
    <w:p w:rsidR="000E2F70" w:rsidRDefault="000E2F70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D65BC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6227C6" w:rsidRPr="007D6DF5" w:rsidRDefault="00D65BC7" w:rsidP="00872CF1">
      <w:pPr>
        <w:pStyle w:val="a5"/>
        <w:jc w:val="both"/>
        <w:rPr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Т.А. Игнатова</w:t>
      </w:r>
    </w:p>
    <w:sectPr w:rsidR="006227C6" w:rsidRPr="007D6DF5" w:rsidSect="000E2F70">
      <w:headerReference w:type="default" r:id="rId11"/>
      <w:footerReference w:type="default" r:id="rId12"/>
      <w:pgSz w:w="11906" w:h="16838"/>
      <w:pgMar w:top="709" w:right="991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40" w:rsidRDefault="008E5D40" w:rsidP="00355095">
      <w:pPr>
        <w:spacing w:line="240" w:lineRule="auto"/>
      </w:pPr>
      <w:r>
        <w:separator/>
      </w:r>
    </w:p>
  </w:endnote>
  <w:endnote w:type="continuationSeparator" w:id="0">
    <w:p w:rsidR="008E5D40" w:rsidRDefault="008E5D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28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28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40" w:rsidRDefault="008E5D40" w:rsidP="00355095">
      <w:pPr>
        <w:spacing w:line="240" w:lineRule="auto"/>
      </w:pPr>
      <w:r>
        <w:separator/>
      </w:r>
    </w:p>
  </w:footnote>
  <w:footnote w:type="continuationSeparator" w:id="0">
    <w:p w:rsidR="008E5D40" w:rsidRDefault="008E5D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E34BE" w:rsidP="00355095">
    <w:pPr>
      <w:pStyle w:val="ae"/>
      <w:jc w:val="right"/>
      <w:rPr>
        <w:i/>
        <w:sz w:val="20"/>
      </w:rPr>
    </w:pPr>
    <w:r>
      <w:rPr>
        <w:i/>
        <w:sz w:val="20"/>
      </w:rPr>
      <w:t>Протокол рассмотрения</w:t>
    </w:r>
    <w:r w:rsidR="00A047DC">
      <w:rPr>
        <w:i/>
        <w:sz w:val="20"/>
      </w:rPr>
      <w:t xml:space="preserve"> заявок</w:t>
    </w:r>
    <w:r w:rsidR="00B36031">
      <w:rPr>
        <w:i/>
        <w:sz w:val="20"/>
      </w:rPr>
      <w:t xml:space="preserve"> ОЗ</w:t>
    </w:r>
    <w:r w:rsidR="000102F8">
      <w:rPr>
        <w:i/>
        <w:sz w:val="20"/>
      </w:rPr>
      <w:t>Ц ЭТП</w:t>
    </w:r>
    <w:r w:rsidR="00355095" w:rsidRPr="00355095">
      <w:rPr>
        <w:i/>
        <w:sz w:val="20"/>
      </w:rPr>
      <w:t xml:space="preserve"> закупка </w:t>
    </w:r>
    <w:r w:rsidR="00654731">
      <w:rPr>
        <w:i/>
        <w:sz w:val="20"/>
      </w:rPr>
      <w:t xml:space="preserve">1451 </w:t>
    </w:r>
    <w:r w:rsidR="00581D92">
      <w:rPr>
        <w:i/>
        <w:sz w:val="20"/>
      </w:rPr>
      <w:t xml:space="preserve"> раздел </w:t>
    </w:r>
    <w:r w:rsidR="00654731">
      <w:rPr>
        <w:i/>
        <w:sz w:val="20"/>
      </w:rPr>
      <w:t>1.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B21C7806"/>
    <w:lvl w:ilvl="0" w:tplc="DB40C5B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9"/>
  </w:num>
  <w:num w:numId="12">
    <w:abstractNumId w:val="14"/>
  </w:num>
  <w:num w:numId="13">
    <w:abstractNumId w:val="18"/>
  </w:num>
  <w:num w:numId="14">
    <w:abstractNumId w:val="16"/>
  </w:num>
  <w:num w:numId="15">
    <w:abstractNumId w:val="11"/>
  </w:num>
  <w:num w:numId="16">
    <w:abstractNumId w:val="22"/>
  </w:num>
  <w:num w:numId="17">
    <w:abstractNumId w:val="12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2F8"/>
    <w:rsid w:val="00013012"/>
    <w:rsid w:val="000153C0"/>
    <w:rsid w:val="00023DF3"/>
    <w:rsid w:val="000302B2"/>
    <w:rsid w:val="00030C9E"/>
    <w:rsid w:val="00033CF8"/>
    <w:rsid w:val="00036A5E"/>
    <w:rsid w:val="00040BFE"/>
    <w:rsid w:val="00043130"/>
    <w:rsid w:val="0004784F"/>
    <w:rsid w:val="00053757"/>
    <w:rsid w:val="00053ACD"/>
    <w:rsid w:val="000552A8"/>
    <w:rsid w:val="00057F72"/>
    <w:rsid w:val="0006695B"/>
    <w:rsid w:val="00073B6A"/>
    <w:rsid w:val="0008004B"/>
    <w:rsid w:val="00085AC9"/>
    <w:rsid w:val="000911D3"/>
    <w:rsid w:val="00091988"/>
    <w:rsid w:val="00095EBF"/>
    <w:rsid w:val="000A407E"/>
    <w:rsid w:val="000A643F"/>
    <w:rsid w:val="000C1263"/>
    <w:rsid w:val="000C17A4"/>
    <w:rsid w:val="000D12B2"/>
    <w:rsid w:val="000D18F2"/>
    <w:rsid w:val="000E2F70"/>
    <w:rsid w:val="000F1326"/>
    <w:rsid w:val="000F6E22"/>
    <w:rsid w:val="00103D49"/>
    <w:rsid w:val="001114A0"/>
    <w:rsid w:val="00122B8F"/>
    <w:rsid w:val="00126847"/>
    <w:rsid w:val="00143503"/>
    <w:rsid w:val="00144C8B"/>
    <w:rsid w:val="00153E9A"/>
    <w:rsid w:val="00190BA9"/>
    <w:rsid w:val="001924E0"/>
    <w:rsid w:val="001926AC"/>
    <w:rsid w:val="0019781E"/>
    <w:rsid w:val="001B13FD"/>
    <w:rsid w:val="001B37A3"/>
    <w:rsid w:val="001B4A69"/>
    <w:rsid w:val="001E1885"/>
    <w:rsid w:val="001E33F9"/>
    <w:rsid w:val="001F16DB"/>
    <w:rsid w:val="001F2E0A"/>
    <w:rsid w:val="001F618F"/>
    <w:rsid w:val="00200CC3"/>
    <w:rsid w:val="00203F8D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7600"/>
    <w:rsid w:val="002A24D7"/>
    <w:rsid w:val="002B0903"/>
    <w:rsid w:val="002B1828"/>
    <w:rsid w:val="002D7A1A"/>
    <w:rsid w:val="002E102F"/>
    <w:rsid w:val="002E1D13"/>
    <w:rsid w:val="002E4AAD"/>
    <w:rsid w:val="0030410E"/>
    <w:rsid w:val="00305CDF"/>
    <w:rsid w:val="00306C67"/>
    <w:rsid w:val="00310DC5"/>
    <w:rsid w:val="003223F3"/>
    <w:rsid w:val="00322EF8"/>
    <w:rsid w:val="0033009A"/>
    <w:rsid w:val="00340D88"/>
    <w:rsid w:val="00346D3C"/>
    <w:rsid w:val="00352465"/>
    <w:rsid w:val="00355095"/>
    <w:rsid w:val="00366597"/>
    <w:rsid w:val="00367A84"/>
    <w:rsid w:val="0037307E"/>
    <w:rsid w:val="00377A8A"/>
    <w:rsid w:val="00380B7F"/>
    <w:rsid w:val="00386B81"/>
    <w:rsid w:val="003930F2"/>
    <w:rsid w:val="003B08F4"/>
    <w:rsid w:val="003B16A5"/>
    <w:rsid w:val="003B3ACD"/>
    <w:rsid w:val="003B43D3"/>
    <w:rsid w:val="003C690B"/>
    <w:rsid w:val="003D4565"/>
    <w:rsid w:val="003D62C8"/>
    <w:rsid w:val="003E6248"/>
    <w:rsid w:val="003F0903"/>
    <w:rsid w:val="003F1CAE"/>
    <w:rsid w:val="003F2505"/>
    <w:rsid w:val="004034A5"/>
    <w:rsid w:val="004143E7"/>
    <w:rsid w:val="00416CFB"/>
    <w:rsid w:val="00423EB5"/>
    <w:rsid w:val="00425DCF"/>
    <w:rsid w:val="00433072"/>
    <w:rsid w:val="004453DA"/>
    <w:rsid w:val="00445432"/>
    <w:rsid w:val="0045381B"/>
    <w:rsid w:val="00456A10"/>
    <w:rsid w:val="00456E12"/>
    <w:rsid w:val="004579DA"/>
    <w:rsid w:val="00476103"/>
    <w:rsid w:val="00480849"/>
    <w:rsid w:val="004820EA"/>
    <w:rsid w:val="004932DB"/>
    <w:rsid w:val="0049333C"/>
    <w:rsid w:val="004A1EEB"/>
    <w:rsid w:val="004A4816"/>
    <w:rsid w:val="004A606C"/>
    <w:rsid w:val="004C1EA3"/>
    <w:rsid w:val="004D1A37"/>
    <w:rsid w:val="004D5763"/>
    <w:rsid w:val="004D6055"/>
    <w:rsid w:val="004F4B48"/>
    <w:rsid w:val="00513549"/>
    <w:rsid w:val="00515CBE"/>
    <w:rsid w:val="00526FD4"/>
    <w:rsid w:val="005328EE"/>
    <w:rsid w:val="00547EE6"/>
    <w:rsid w:val="00551234"/>
    <w:rsid w:val="005529F7"/>
    <w:rsid w:val="0055309B"/>
    <w:rsid w:val="00561E70"/>
    <w:rsid w:val="00563A7E"/>
    <w:rsid w:val="00571278"/>
    <w:rsid w:val="00581D92"/>
    <w:rsid w:val="005856B7"/>
    <w:rsid w:val="0058642E"/>
    <w:rsid w:val="005871CC"/>
    <w:rsid w:val="00587853"/>
    <w:rsid w:val="00590768"/>
    <w:rsid w:val="0059394F"/>
    <w:rsid w:val="0059531A"/>
    <w:rsid w:val="00597E36"/>
    <w:rsid w:val="005A4AD8"/>
    <w:rsid w:val="005B1491"/>
    <w:rsid w:val="005B198A"/>
    <w:rsid w:val="005B5865"/>
    <w:rsid w:val="005D40F5"/>
    <w:rsid w:val="005D7BA8"/>
    <w:rsid w:val="005E1345"/>
    <w:rsid w:val="005E34D0"/>
    <w:rsid w:val="005F059C"/>
    <w:rsid w:val="005F3826"/>
    <w:rsid w:val="005F61A1"/>
    <w:rsid w:val="00600912"/>
    <w:rsid w:val="00601B1D"/>
    <w:rsid w:val="00613EDC"/>
    <w:rsid w:val="006155BC"/>
    <w:rsid w:val="00622425"/>
    <w:rsid w:val="006227C6"/>
    <w:rsid w:val="00622BD9"/>
    <w:rsid w:val="00654731"/>
    <w:rsid w:val="006629E9"/>
    <w:rsid w:val="0067093E"/>
    <w:rsid w:val="00674B2F"/>
    <w:rsid w:val="0067734E"/>
    <w:rsid w:val="00677D79"/>
    <w:rsid w:val="00680B61"/>
    <w:rsid w:val="00694200"/>
    <w:rsid w:val="006A34F3"/>
    <w:rsid w:val="006A430C"/>
    <w:rsid w:val="006B3625"/>
    <w:rsid w:val="006C3F67"/>
    <w:rsid w:val="006C4B51"/>
    <w:rsid w:val="006E6452"/>
    <w:rsid w:val="006F05A3"/>
    <w:rsid w:val="006F1284"/>
    <w:rsid w:val="006F3881"/>
    <w:rsid w:val="006F44B4"/>
    <w:rsid w:val="00700899"/>
    <w:rsid w:val="00701B0D"/>
    <w:rsid w:val="00701B91"/>
    <w:rsid w:val="00705A18"/>
    <w:rsid w:val="0071405E"/>
    <w:rsid w:val="0071472B"/>
    <w:rsid w:val="00732C5E"/>
    <w:rsid w:val="0074121C"/>
    <w:rsid w:val="00741BEA"/>
    <w:rsid w:val="007436D6"/>
    <w:rsid w:val="00745749"/>
    <w:rsid w:val="00757186"/>
    <w:rsid w:val="007611D3"/>
    <w:rsid w:val="00761690"/>
    <w:rsid w:val="00771B04"/>
    <w:rsid w:val="00780605"/>
    <w:rsid w:val="0079337E"/>
    <w:rsid w:val="0079457B"/>
    <w:rsid w:val="007A0ACC"/>
    <w:rsid w:val="007B404E"/>
    <w:rsid w:val="007B45C9"/>
    <w:rsid w:val="007B697F"/>
    <w:rsid w:val="007C0C31"/>
    <w:rsid w:val="007C3379"/>
    <w:rsid w:val="007C4382"/>
    <w:rsid w:val="007C54CF"/>
    <w:rsid w:val="007D6DF5"/>
    <w:rsid w:val="00807ED5"/>
    <w:rsid w:val="008350A1"/>
    <w:rsid w:val="00835365"/>
    <w:rsid w:val="008540CC"/>
    <w:rsid w:val="00861C62"/>
    <w:rsid w:val="00864009"/>
    <w:rsid w:val="00872CF1"/>
    <w:rsid w:val="008759B3"/>
    <w:rsid w:val="008848D3"/>
    <w:rsid w:val="00886219"/>
    <w:rsid w:val="0088746E"/>
    <w:rsid w:val="008A5961"/>
    <w:rsid w:val="008B4E73"/>
    <w:rsid w:val="008B5E0F"/>
    <w:rsid w:val="008C04DF"/>
    <w:rsid w:val="008D0CCD"/>
    <w:rsid w:val="008D70A2"/>
    <w:rsid w:val="008E28DF"/>
    <w:rsid w:val="008E5D40"/>
    <w:rsid w:val="008E5F84"/>
    <w:rsid w:val="008E6471"/>
    <w:rsid w:val="008F22E2"/>
    <w:rsid w:val="008F5FF6"/>
    <w:rsid w:val="008F7C0F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41C9"/>
    <w:rsid w:val="00935863"/>
    <w:rsid w:val="009423A1"/>
    <w:rsid w:val="00946E89"/>
    <w:rsid w:val="00952384"/>
    <w:rsid w:val="00965222"/>
    <w:rsid w:val="00967D5D"/>
    <w:rsid w:val="00974389"/>
    <w:rsid w:val="00980378"/>
    <w:rsid w:val="00983EC3"/>
    <w:rsid w:val="009852C6"/>
    <w:rsid w:val="009972F3"/>
    <w:rsid w:val="009A652F"/>
    <w:rsid w:val="009A6ACF"/>
    <w:rsid w:val="009D31B9"/>
    <w:rsid w:val="00A047DC"/>
    <w:rsid w:val="00A05A52"/>
    <w:rsid w:val="00A06B93"/>
    <w:rsid w:val="00A20713"/>
    <w:rsid w:val="00A27206"/>
    <w:rsid w:val="00A312A2"/>
    <w:rsid w:val="00A56CAE"/>
    <w:rsid w:val="00A57A7B"/>
    <w:rsid w:val="00A61522"/>
    <w:rsid w:val="00A66628"/>
    <w:rsid w:val="00A710C5"/>
    <w:rsid w:val="00A76D45"/>
    <w:rsid w:val="00A84264"/>
    <w:rsid w:val="00A84396"/>
    <w:rsid w:val="00A87C37"/>
    <w:rsid w:val="00A93AAA"/>
    <w:rsid w:val="00A93FBE"/>
    <w:rsid w:val="00A95BFA"/>
    <w:rsid w:val="00AA0FC2"/>
    <w:rsid w:val="00AA172C"/>
    <w:rsid w:val="00AB611E"/>
    <w:rsid w:val="00AC0DE7"/>
    <w:rsid w:val="00AD0933"/>
    <w:rsid w:val="00AD12A4"/>
    <w:rsid w:val="00AD56AC"/>
    <w:rsid w:val="00AD6D2F"/>
    <w:rsid w:val="00AE76E4"/>
    <w:rsid w:val="00AF01AB"/>
    <w:rsid w:val="00AF1A85"/>
    <w:rsid w:val="00AF4C33"/>
    <w:rsid w:val="00B001DD"/>
    <w:rsid w:val="00B12993"/>
    <w:rsid w:val="00B13C1B"/>
    <w:rsid w:val="00B13EBE"/>
    <w:rsid w:val="00B20409"/>
    <w:rsid w:val="00B21BBE"/>
    <w:rsid w:val="00B27E05"/>
    <w:rsid w:val="00B36031"/>
    <w:rsid w:val="00B36C9E"/>
    <w:rsid w:val="00B46BA5"/>
    <w:rsid w:val="00B54AEB"/>
    <w:rsid w:val="00B57DE3"/>
    <w:rsid w:val="00B6781F"/>
    <w:rsid w:val="00B828AD"/>
    <w:rsid w:val="00B853E5"/>
    <w:rsid w:val="00B855FE"/>
    <w:rsid w:val="00B85B88"/>
    <w:rsid w:val="00BB4F70"/>
    <w:rsid w:val="00BB72C0"/>
    <w:rsid w:val="00BB7A25"/>
    <w:rsid w:val="00BC5464"/>
    <w:rsid w:val="00BD196F"/>
    <w:rsid w:val="00BD1D36"/>
    <w:rsid w:val="00BD28AA"/>
    <w:rsid w:val="00BE1397"/>
    <w:rsid w:val="00BF278F"/>
    <w:rsid w:val="00BF35EB"/>
    <w:rsid w:val="00BF716F"/>
    <w:rsid w:val="00BF77E9"/>
    <w:rsid w:val="00C02479"/>
    <w:rsid w:val="00C03A63"/>
    <w:rsid w:val="00C11FE6"/>
    <w:rsid w:val="00C126A5"/>
    <w:rsid w:val="00C2003C"/>
    <w:rsid w:val="00C212A7"/>
    <w:rsid w:val="00C21585"/>
    <w:rsid w:val="00C26636"/>
    <w:rsid w:val="00C438F5"/>
    <w:rsid w:val="00C52908"/>
    <w:rsid w:val="00C55AD2"/>
    <w:rsid w:val="00C62488"/>
    <w:rsid w:val="00C62B93"/>
    <w:rsid w:val="00C64009"/>
    <w:rsid w:val="00C64A9D"/>
    <w:rsid w:val="00C650C8"/>
    <w:rsid w:val="00C75C4C"/>
    <w:rsid w:val="00C77AD0"/>
    <w:rsid w:val="00C86BB3"/>
    <w:rsid w:val="00C9000A"/>
    <w:rsid w:val="00C90F2D"/>
    <w:rsid w:val="00C93DEA"/>
    <w:rsid w:val="00CB0FB8"/>
    <w:rsid w:val="00CB5269"/>
    <w:rsid w:val="00CC2DB4"/>
    <w:rsid w:val="00CD44A6"/>
    <w:rsid w:val="00CD7B63"/>
    <w:rsid w:val="00CE1903"/>
    <w:rsid w:val="00CE3017"/>
    <w:rsid w:val="00CE34BE"/>
    <w:rsid w:val="00CE3F1D"/>
    <w:rsid w:val="00CF1632"/>
    <w:rsid w:val="00D05F7D"/>
    <w:rsid w:val="00D0733D"/>
    <w:rsid w:val="00D26329"/>
    <w:rsid w:val="00D401A6"/>
    <w:rsid w:val="00D43162"/>
    <w:rsid w:val="00D440EC"/>
    <w:rsid w:val="00D62D28"/>
    <w:rsid w:val="00D65BC7"/>
    <w:rsid w:val="00D82055"/>
    <w:rsid w:val="00D85B2B"/>
    <w:rsid w:val="00D91435"/>
    <w:rsid w:val="00D973C6"/>
    <w:rsid w:val="00DA4F21"/>
    <w:rsid w:val="00DB3788"/>
    <w:rsid w:val="00DE5C19"/>
    <w:rsid w:val="00DF37F7"/>
    <w:rsid w:val="00DF7309"/>
    <w:rsid w:val="00DF7E5C"/>
    <w:rsid w:val="00E00A4C"/>
    <w:rsid w:val="00E02375"/>
    <w:rsid w:val="00E07A98"/>
    <w:rsid w:val="00E13CFF"/>
    <w:rsid w:val="00E219CC"/>
    <w:rsid w:val="00E25DBA"/>
    <w:rsid w:val="00E307C3"/>
    <w:rsid w:val="00E37636"/>
    <w:rsid w:val="00E37973"/>
    <w:rsid w:val="00E55952"/>
    <w:rsid w:val="00E65738"/>
    <w:rsid w:val="00E7299F"/>
    <w:rsid w:val="00E73818"/>
    <w:rsid w:val="00E8314B"/>
    <w:rsid w:val="00EA23EA"/>
    <w:rsid w:val="00EA248D"/>
    <w:rsid w:val="00EB0EC9"/>
    <w:rsid w:val="00EB25E3"/>
    <w:rsid w:val="00EB3D25"/>
    <w:rsid w:val="00EB41BF"/>
    <w:rsid w:val="00EC6B0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7C67"/>
    <w:rsid w:val="00F17E85"/>
    <w:rsid w:val="00F22C68"/>
    <w:rsid w:val="00F2409B"/>
    <w:rsid w:val="00F24E57"/>
    <w:rsid w:val="00F33E33"/>
    <w:rsid w:val="00F54B77"/>
    <w:rsid w:val="00F6533B"/>
    <w:rsid w:val="00F716CC"/>
    <w:rsid w:val="00F75468"/>
    <w:rsid w:val="00F779A3"/>
    <w:rsid w:val="00F85317"/>
    <w:rsid w:val="00F9166B"/>
    <w:rsid w:val="00F96F29"/>
    <w:rsid w:val="00FA0D3F"/>
    <w:rsid w:val="00FA45CB"/>
    <w:rsid w:val="00FA65A5"/>
    <w:rsid w:val="00FC5A20"/>
    <w:rsid w:val="00FC64CF"/>
    <w:rsid w:val="00FD60FA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BE3F0-D252-4768-9727-BAFB9045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21</cp:revision>
  <cp:lastPrinted>2014-04-09T00:39:00Z</cp:lastPrinted>
  <dcterms:created xsi:type="dcterms:W3CDTF">2014-04-02T02:10:00Z</dcterms:created>
  <dcterms:modified xsi:type="dcterms:W3CDTF">2014-04-09T05:52:00Z</dcterms:modified>
</cp:coreProperties>
</file>