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979565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979565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44BF0">
              <w:rPr>
                <w:sz w:val="24"/>
                <w:szCs w:val="24"/>
              </w:rPr>
              <w:t>17</w:t>
            </w:r>
            <w:r w:rsidR="00A2155C">
              <w:rPr>
                <w:sz w:val="24"/>
                <w:szCs w:val="24"/>
              </w:rPr>
              <w:t>2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10744B">
              <w:rPr>
                <w:sz w:val="24"/>
                <w:szCs w:val="24"/>
              </w:rPr>
              <w:t>М</w:t>
            </w:r>
            <w:r w:rsidR="008D181D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A521F0" w:rsidP="00A44B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03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8D181D" w:rsidRPr="008D181D" w:rsidRDefault="003C690B" w:rsidP="008D181D">
      <w:pPr>
        <w:tabs>
          <w:tab w:val="left" w:pos="993"/>
        </w:tabs>
        <w:spacing w:line="240" w:lineRule="auto"/>
        <w:ind w:firstLine="0"/>
        <w:rPr>
          <w:bCs/>
          <w:i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710B28">
        <w:rPr>
          <w:sz w:val="24"/>
          <w:szCs w:val="24"/>
        </w:rPr>
        <w:t>поставку продукции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  <w:r w:rsidR="00A2155C" w:rsidRPr="00694E28">
        <w:rPr>
          <w:bCs/>
          <w:sz w:val="24"/>
          <w:szCs w:val="24"/>
        </w:rPr>
        <w:t>«</w:t>
      </w:r>
      <w:proofErr w:type="spellStart"/>
      <w:r w:rsidR="00A2155C" w:rsidRPr="00694E28">
        <w:rPr>
          <w:b/>
          <w:bCs/>
          <w:i/>
          <w:sz w:val="24"/>
          <w:szCs w:val="24"/>
        </w:rPr>
        <w:t>Выкатные</w:t>
      </w:r>
      <w:proofErr w:type="spellEnd"/>
      <w:r w:rsidR="00A2155C" w:rsidRPr="00694E28">
        <w:rPr>
          <w:b/>
          <w:bCs/>
          <w:i/>
          <w:sz w:val="24"/>
          <w:szCs w:val="24"/>
        </w:rPr>
        <w:t xml:space="preserve"> элементы, вакуумные  выключатели -10 </w:t>
      </w:r>
      <w:proofErr w:type="spellStart"/>
      <w:r w:rsidR="00A2155C" w:rsidRPr="00694E28">
        <w:rPr>
          <w:b/>
          <w:bCs/>
          <w:i/>
          <w:sz w:val="24"/>
          <w:szCs w:val="24"/>
        </w:rPr>
        <w:t>к</w:t>
      </w:r>
      <w:proofErr w:type="gramStart"/>
      <w:r w:rsidR="00A2155C" w:rsidRPr="00694E28">
        <w:rPr>
          <w:b/>
          <w:bCs/>
          <w:i/>
          <w:sz w:val="24"/>
          <w:szCs w:val="24"/>
        </w:rPr>
        <w:t>В</w:t>
      </w:r>
      <w:proofErr w:type="spellEnd"/>
      <w:r w:rsidR="00A2155C" w:rsidRPr="00694E28">
        <w:rPr>
          <w:b/>
          <w:bCs/>
          <w:i/>
          <w:sz w:val="24"/>
          <w:szCs w:val="24"/>
        </w:rPr>
        <w:t>-</w:t>
      </w:r>
      <w:proofErr w:type="gramEnd"/>
      <w:r w:rsidR="00A2155C" w:rsidRPr="00694E28">
        <w:rPr>
          <w:b/>
          <w:bCs/>
          <w:i/>
          <w:sz w:val="24"/>
          <w:szCs w:val="24"/>
        </w:rPr>
        <w:t xml:space="preserve"> ВВ/TEL</w:t>
      </w:r>
      <w:r w:rsidR="00A2155C" w:rsidRPr="00694E28">
        <w:rPr>
          <w:b/>
          <w:i/>
          <w:sz w:val="24"/>
          <w:szCs w:val="24"/>
        </w:rPr>
        <w:t xml:space="preserve">» </w:t>
      </w:r>
      <w:r w:rsidR="00A2155C" w:rsidRPr="00694E28">
        <w:rPr>
          <w:sz w:val="24"/>
          <w:szCs w:val="24"/>
        </w:rPr>
        <w:t>для нужд филиалов ОАО «ДРСК»</w:t>
      </w:r>
      <w:r w:rsidR="00A2155C" w:rsidRPr="00694E28">
        <w:rPr>
          <w:b/>
          <w:i/>
          <w:sz w:val="24"/>
          <w:szCs w:val="24"/>
        </w:rPr>
        <w:t xml:space="preserve"> </w:t>
      </w:r>
      <w:r w:rsidR="00A2155C" w:rsidRPr="00694E28">
        <w:rPr>
          <w:w w:val="110"/>
          <w:sz w:val="24"/>
          <w:szCs w:val="24"/>
        </w:rPr>
        <w:t>«Амурские  электрические сети», «Приморские электрические сети»</w:t>
      </w:r>
      <w:r w:rsidR="00710B28" w:rsidRPr="00902B57">
        <w:rPr>
          <w:bCs/>
          <w:snapToGrid/>
          <w:sz w:val="24"/>
          <w:szCs w:val="24"/>
        </w:rPr>
        <w:t>.</w:t>
      </w:r>
    </w:p>
    <w:p w:rsidR="00A44BF0" w:rsidRPr="00ED39C9" w:rsidRDefault="00A44BF0" w:rsidP="00A44BF0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902B57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902B57">
        <w:rPr>
          <w:bCs/>
          <w:iCs/>
          <w:snapToGrid/>
          <w:sz w:val="24"/>
          <w:szCs w:val="24"/>
        </w:rPr>
        <w:t>г.</w:t>
      </w:r>
      <w:r>
        <w:rPr>
          <w:bCs/>
          <w:iCs/>
          <w:snapToGrid/>
          <w:sz w:val="24"/>
          <w:szCs w:val="24"/>
        </w:rPr>
        <w:t xml:space="preserve"> года,</w:t>
      </w:r>
      <w:r w:rsidRPr="00ED39C9">
        <w:rPr>
          <w:bCs/>
          <w:iCs/>
          <w:snapToGrid/>
          <w:sz w:val="24"/>
          <w:szCs w:val="24"/>
        </w:rPr>
        <w:t xml:space="preserve"> раздела  </w:t>
      </w:r>
      <w:r>
        <w:rPr>
          <w:bCs/>
          <w:iCs/>
          <w:snapToGrid/>
          <w:sz w:val="24"/>
          <w:szCs w:val="24"/>
        </w:rPr>
        <w:t>2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2.2</w:t>
      </w:r>
      <w:r w:rsidRPr="00ED39C9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>Материалы</w:t>
      </w:r>
      <w:r w:rsidRPr="00ED39C9">
        <w:rPr>
          <w:bCs/>
          <w:iCs/>
          <w:snapToGrid/>
          <w:sz w:val="24"/>
          <w:szCs w:val="24"/>
        </w:rPr>
        <w:t xml:space="preserve">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ED39C9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15</w:t>
      </w:r>
      <w:r w:rsidR="00A2155C">
        <w:rPr>
          <w:bCs/>
          <w:iCs/>
          <w:snapToGrid/>
          <w:sz w:val="24"/>
          <w:szCs w:val="24"/>
        </w:rPr>
        <w:t>29</w:t>
      </w:r>
      <w:r w:rsidRPr="00ED39C9">
        <w:rPr>
          <w:bCs/>
          <w:iCs/>
          <w:snapToGrid/>
          <w:sz w:val="24"/>
          <w:szCs w:val="24"/>
        </w:rPr>
        <w:t xml:space="preserve"> на основании </w:t>
      </w:r>
      <w:r>
        <w:rPr>
          <w:bCs/>
          <w:iCs/>
          <w:snapToGrid/>
          <w:sz w:val="24"/>
          <w:szCs w:val="24"/>
        </w:rPr>
        <w:t>указания</w:t>
      </w:r>
      <w:r w:rsidRPr="00ED39C9">
        <w:rPr>
          <w:bCs/>
          <w:iCs/>
          <w:snapToGrid/>
          <w:sz w:val="24"/>
          <w:szCs w:val="24"/>
        </w:rPr>
        <w:t xml:space="preserve"> ОАО «ДРСК» от  </w:t>
      </w:r>
      <w:r>
        <w:rPr>
          <w:bCs/>
          <w:iCs/>
          <w:snapToGrid/>
          <w:sz w:val="24"/>
          <w:szCs w:val="24"/>
        </w:rPr>
        <w:t>03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03</w:t>
      </w:r>
      <w:r w:rsidRPr="00ED39C9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ED39C9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41</w:t>
      </w:r>
      <w:r w:rsidRPr="00ED39C9">
        <w:rPr>
          <w:bCs/>
          <w:iCs/>
          <w:snapToGrid/>
          <w:sz w:val="24"/>
          <w:szCs w:val="24"/>
        </w:rPr>
        <w:t>.</w:t>
      </w:r>
    </w:p>
    <w:p w:rsidR="00A44BF0" w:rsidRPr="006C0C2D" w:rsidRDefault="00A44BF0" w:rsidP="00A44BF0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="00A2155C" w:rsidRPr="00694E28">
        <w:rPr>
          <w:b/>
          <w:i/>
          <w:sz w:val="24"/>
        </w:rPr>
        <w:t>12</w:t>
      </w:r>
      <w:r w:rsidR="00A2155C">
        <w:rPr>
          <w:b/>
          <w:i/>
          <w:sz w:val="24"/>
        </w:rPr>
        <w:t> </w:t>
      </w:r>
      <w:r w:rsidR="00A2155C" w:rsidRPr="00694E28">
        <w:rPr>
          <w:b/>
          <w:i/>
          <w:sz w:val="24"/>
        </w:rPr>
        <w:t>720</w:t>
      </w:r>
      <w:r w:rsidR="00A2155C">
        <w:rPr>
          <w:b/>
          <w:i/>
          <w:sz w:val="24"/>
        </w:rPr>
        <w:t> </w:t>
      </w:r>
      <w:r w:rsidR="00A2155C" w:rsidRPr="00694E28">
        <w:rPr>
          <w:b/>
          <w:i/>
          <w:sz w:val="24"/>
        </w:rPr>
        <w:t>340</w:t>
      </w:r>
      <w:r w:rsidR="00A2155C">
        <w:rPr>
          <w:b/>
          <w:i/>
          <w:sz w:val="24"/>
        </w:rPr>
        <w:t>,00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Pr="006C0C2D">
        <w:rPr>
          <w:b/>
          <w:bCs/>
          <w:i/>
          <w:iCs/>
          <w:snapToGrid/>
          <w:sz w:val="24"/>
          <w:szCs w:val="24"/>
        </w:rPr>
        <w:t>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 xml:space="preserve">.        </w:t>
      </w:r>
    </w:p>
    <w:p w:rsidR="00E77556" w:rsidRPr="008D181D" w:rsidRDefault="0010744B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8D181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EE139F" w:rsidRPr="00EE139F" w:rsidRDefault="00EE139F" w:rsidP="00EE139F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EE139F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EE139F" w:rsidRPr="00EE139F" w:rsidRDefault="00EE139F" w:rsidP="00EE139F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EE139F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EE139F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EE139F">
        <w:rPr>
          <w:bCs/>
          <w:iCs/>
          <w:snapToGrid/>
          <w:sz w:val="24"/>
          <w:szCs w:val="24"/>
        </w:rPr>
        <w:t xml:space="preserve"> условиям закупки.</w:t>
      </w:r>
    </w:p>
    <w:p w:rsidR="00EE139F" w:rsidRPr="00EE139F" w:rsidRDefault="00EE139F" w:rsidP="00EE139F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EE139F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EE139F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EE139F">
        <w:rPr>
          <w:bCs/>
          <w:iCs/>
          <w:snapToGrid/>
          <w:sz w:val="24"/>
          <w:szCs w:val="24"/>
        </w:rPr>
        <w:t xml:space="preserve"> условиям закупки.</w:t>
      </w:r>
    </w:p>
    <w:p w:rsidR="00EE139F" w:rsidRPr="00EE139F" w:rsidRDefault="00EE139F" w:rsidP="00EE139F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EE139F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EE139F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EE139F">
        <w:rPr>
          <w:bCs/>
          <w:iCs/>
          <w:snapToGrid/>
          <w:sz w:val="24"/>
          <w:szCs w:val="24"/>
        </w:rPr>
        <w:t xml:space="preserve"> </w:t>
      </w:r>
      <w:proofErr w:type="spellStart"/>
      <w:r w:rsidRPr="00EE139F">
        <w:rPr>
          <w:bCs/>
          <w:iCs/>
          <w:snapToGrid/>
          <w:sz w:val="24"/>
          <w:szCs w:val="24"/>
        </w:rPr>
        <w:t>ранжировке</w:t>
      </w:r>
      <w:proofErr w:type="spellEnd"/>
      <w:r w:rsidRPr="00EE139F">
        <w:rPr>
          <w:bCs/>
          <w:iCs/>
          <w:snapToGrid/>
          <w:sz w:val="24"/>
          <w:szCs w:val="24"/>
        </w:rPr>
        <w:t xml:space="preserve"> предложений</w:t>
      </w:r>
    </w:p>
    <w:p w:rsidR="00EE139F" w:rsidRPr="00EE139F" w:rsidRDefault="00EE139F" w:rsidP="00EE139F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EE139F">
        <w:rPr>
          <w:bCs/>
          <w:iCs/>
          <w:snapToGrid/>
          <w:sz w:val="24"/>
          <w:szCs w:val="24"/>
        </w:rPr>
        <w:t>О проведении переторжки</w:t>
      </w:r>
    </w:p>
    <w:p w:rsidR="00EE139F" w:rsidRPr="00EE139F" w:rsidRDefault="00EE139F" w:rsidP="00EE139F">
      <w:pPr>
        <w:spacing w:line="240" w:lineRule="auto"/>
        <w:ind w:firstLine="0"/>
        <w:rPr>
          <w:b/>
          <w:sz w:val="24"/>
          <w:szCs w:val="24"/>
        </w:rPr>
      </w:pPr>
    </w:p>
    <w:p w:rsidR="00EE139F" w:rsidRPr="00EE139F" w:rsidRDefault="00EE139F" w:rsidP="00EE139F">
      <w:pPr>
        <w:spacing w:line="240" w:lineRule="auto"/>
        <w:ind w:firstLine="0"/>
        <w:rPr>
          <w:b/>
          <w:sz w:val="24"/>
          <w:szCs w:val="24"/>
        </w:rPr>
      </w:pPr>
      <w:r w:rsidRPr="00EE139F">
        <w:rPr>
          <w:b/>
          <w:sz w:val="24"/>
          <w:szCs w:val="24"/>
        </w:rPr>
        <w:t>РАССМАТРИВАЕМЫЕ ДОКУМЕНТЫ:</w:t>
      </w:r>
    </w:p>
    <w:p w:rsidR="00EE139F" w:rsidRPr="00EE139F" w:rsidRDefault="00EE139F" w:rsidP="00EE139F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E139F">
        <w:rPr>
          <w:sz w:val="24"/>
          <w:szCs w:val="24"/>
        </w:rPr>
        <w:t>Протокол вскрытия конвертов от 14.03.2014г. № 172/</w:t>
      </w:r>
      <w:proofErr w:type="spellStart"/>
      <w:r w:rsidRPr="00EE139F">
        <w:rPr>
          <w:sz w:val="24"/>
          <w:szCs w:val="24"/>
        </w:rPr>
        <w:t>МТПиР</w:t>
      </w:r>
      <w:proofErr w:type="spellEnd"/>
      <w:r w:rsidRPr="00EE139F">
        <w:rPr>
          <w:sz w:val="24"/>
          <w:szCs w:val="24"/>
        </w:rPr>
        <w:t>-В</w:t>
      </w:r>
    </w:p>
    <w:p w:rsidR="00EE139F" w:rsidRPr="00EE139F" w:rsidRDefault="00EE139F" w:rsidP="00EE139F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E139F">
        <w:rPr>
          <w:sz w:val="24"/>
          <w:szCs w:val="24"/>
        </w:rPr>
        <w:t xml:space="preserve">Индивидуальное заключение </w:t>
      </w:r>
      <w:proofErr w:type="spellStart"/>
      <w:r w:rsidRPr="00EE139F">
        <w:rPr>
          <w:sz w:val="24"/>
          <w:szCs w:val="24"/>
        </w:rPr>
        <w:t>Бичевина</w:t>
      </w:r>
      <w:proofErr w:type="spellEnd"/>
      <w:r w:rsidRPr="00EE139F">
        <w:rPr>
          <w:sz w:val="24"/>
          <w:szCs w:val="24"/>
        </w:rPr>
        <w:t xml:space="preserve"> А.В.</w:t>
      </w:r>
    </w:p>
    <w:p w:rsidR="00EE139F" w:rsidRPr="00EE139F" w:rsidRDefault="00EE139F" w:rsidP="00EE139F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E139F">
        <w:rPr>
          <w:sz w:val="24"/>
          <w:szCs w:val="24"/>
        </w:rPr>
        <w:t xml:space="preserve">Индивидуальное заключение </w:t>
      </w:r>
      <w:proofErr w:type="spellStart"/>
      <w:r w:rsidRPr="00EE139F">
        <w:rPr>
          <w:sz w:val="24"/>
          <w:szCs w:val="24"/>
        </w:rPr>
        <w:t>Моториной</w:t>
      </w:r>
      <w:proofErr w:type="spellEnd"/>
      <w:r w:rsidRPr="00EE139F">
        <w:rPr>
          <w:sz w:val="24"/>
          <w:szCs w:val="24"/>
        </w:rPr>
        <w:t xml:space="preserve"> О.А.</w:t>
      </w:r>
    </w:p>
    <w:p w:rsidR="00EE139F" w:rsidRPr="00EE139F" w:rsidRDefault="00EE139F" w:rsidP="00EE139F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E139F">
        <w:rPr>
          <w:sz w:val="24"/>
          <w:szCs w:val="24"/>
        </w:rPr>
        <w:t>Индивидуальное заключение Лаптева И.А.</w:t>
      </w:r>
    </w:p>
    <w:p w:rsidR="00EE139F" w:rsidRPr="00EE139F" w:rsidRDefault="00EE139F" w:rsidP="00EE139F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EE139F" w:rsidRPr="00EE139F" w:rsidRDefault="00EE139F" w:rsidP="00EE139F">
      <w:pPr>
        <w:spacing w:line="240" w:lineRule="auto"/>
        <w:ind w:firstLine="0"/>
        <w:rPr>
          <w:snapToGrid/>
          <w:sz w:val="24"/>
          <w:szCs w:val="24"/>
        </w:rPr>
      </w:pPr>
      <w:r w:rsidRPr="00EE139F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EE139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E139F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EE139F" w:rsidRPr="00EE139F" w:rsidRDefault="00EE139F" w:rsidP="00EE139F">
      <w:pPr>
        <w:spacing w:line="240" w:lineRule="auto"/>
        <w:rPr>
          <w:sz w:val="24"/>
          <w:szCs w:val="24"/>
        </w:rPr>
      </w:pPr>
      <w:r w:rsidRPr="00EE139F">
        <w:rPr>
          <w:sz w:val="24"/>
          <w:szCs w:val="24"/>
        </w:rPr>
        <w:t>ОТМЕТИЛИ:</w:t>
      </w:r>
    </w:p>
    <w:p w:rsidR="00EE139F" w:rsidRPr="00EE139F" w:rsidRDefault="00EE139F" w:rsidP="00EE139F">
      <w:pPr>
        <w:spacing w:line="240" w:lineRule="auto"/>
        <w:contextualSpacing/>
        <w:rPr>
          <w:sz w:val="24"/>
          <w:szCs w:val="24"/>
        </w:rPr>
      </w:pPr>
      <w:r w:rsidRPr="00EE139F">
        <w:rPr>
          <w:sz w:val="24"/>
          <w:szCs w:val="24"/>
        </w:rPr>
        <w:t xml:space="preserve">Предложения </w:t>
      </w:r>
      <w:r w:rsidRPr="00EE139F">
        <w:rPr>
          <w:b/>
          <w:i/>
          <w:sz w:val="24"/>
          <w:szCs w:val="24"/>
        </w:rPr>
        <w:t xml:space="preserve">ООО "Таврида Электрик </w:t>
      </w:r>
      <w:proofErr w:type="gramStart"/>
      <w:r w:rsidRPr="00EE139F">
        <w:rPr>
          <w:b/>
          <w:i/>
          <w:sz w:val="24"/>
          <w:szCs w:val="24"/>
        </w:rPr>
        <w:t>МСК</w:t>
      </w:r>
      <w:proofErr w:type="gramEnd"/>
      <w:r w:rsidRPr="00EE139F">
        <w:rPr>
          <w:b/>
          <w:i/>
          <w:sz w:val="24"/>
          <w:szCs w:val="24"/>
        </w:rPr>
        <w:t xml:space="preserve">" г. Москва, ООО "ТЭЛПРО Инжиниринг" г. Москва </w:t>
      </w:r>
      <w:r w:rsidRPr="00EE139F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E139F" w:rsidRPr="00EE139F" w:rsidRDefault="00EE139F" w:rsidP="00EE139F">
      <w:pPr>
        <w:spacing w:line="240" w:lineRule="auto"/>
        <w:contextualSpacing/>
        <w:rPr>
          <w:sz w:val="24"/>
          <w:szCs w:val="24"/>
        </w:rPr>
      </w:pPr>
    </w:p>
    <w:p w:rsidR="00EE139F" w:rsidRPr="00EE139F" w:rsidRDefault="00EE139F" w:rsidP="00EE139F">
      <w:pPr>
        <w:spacing w:line="240" w:lineRule="auto"/>
        <w:ind w:firstLine="0"/>
        <w:rPr>
          <w:snapToGrid/>
          <w:sz w:val="24"/>
          <w:szCs w:val="24"/>
        </w:rPr>
      </w:pPr>
      <w:r w:rsidRPr="00EE139F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EE139F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EE139F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EE139F" w:rsidRPr="00EE139F" w:rsidRDefault="00EE139F" w:rsidP="00EE139F">
      <w:pPr>
        <w:spacing w:line="240" w:lineRule="auto"/>
        <w:rPr>
          <w:sz w:val="24"/>
          <w:szCs w:val="24"/>
        </w:rPr>
      </w:pPr>
    </w:p>
    <w:p w:rsidR="00EE139F" w:rsidRPr="00EE139F" w:rsidRDefault="00EE139F" w:rsidP="00EE139F">
      <w:pPr>
        <w:spacing w:line="240" w:lineRule="auto"/>
        <w:rPr>
          <w:sz w:val="24"/>
          <w:szCs w:val="24"/>
        </w:rPr>
      </w:pPr>
      <w:r w:rsidRPr="00EE139F">
        <w:rPr>
          <w:sz w:val="24"/>
          <w:szCs w:val="24"/>
        </w:rPr>
        <w:t>ОТМЕТИЛИ:</w:t>
      </w:r>
    </w:p>
    <w:p w:rsidR="00EE139F" w:rsidRPr="00EE139F" w:rsidRDefault="00EE139F" w:rsidP="00EE139F">
      <w:pPr>
        <w:spacing w:line="240" w:lineRule="auto"/>
        <w:contextualSpacing/>
        <w:rPr>
          <w:sz w:val="24"/>
          <w:szCs w:val="24"/>
        </w:rPr>
      </w:pPr>
      <w:r w:rsidRPr="00EE139F">
        <w:rPr>
          <w:sz w:val="24"/>
          <w:szCs w:val="24"/>
        </w:rPr>
        <w:t xml:space="preserve">Предложение </w:t>
      </w:r>
      <w:r w:rsidRPr="00EE139F">
        <w:rPr>
          <w:b/>
          <w:i/>
          <w:snapToGrid/>
          <w:sz w:val="24"/>
          <w:szCs w:val="24"/>
        </w:rPr>
        <w:t>ОАО "НПП "Контакт" г. Саратов</w:t>
      </w:r>
      <w:r w:rsidRPr="00EE139F">
        <w:rPr>
          <w:b/>
          <w:i/>
          <w:sz w:val="24"/>
          <w:szCs w:val="24"/>
        </w:rPr>
        <w:t xml:space="preserve"> </w:t>
      </w:r>
      <w:r w:rsidRPr="00EE139F">
        <w:rPr>
          <w:sz w:val="24"/>
          <w:szCs w:val="24"/>
        </w:rPr>
        <w:t>(предложение на сумму 9 195 000,00 рублей без НДС)</w:t>
      </w:r>
      <w:r w:rsidRPr="00EE139F">
        <w:rPr>
          <w:b/>
          <w:i/>
          <w:sz w:val="24"/>
          <w:szCs w:val="24"/>
        </w:rPr>
        <w:t xml:space="preserve"> </w:t>
      </w:r>
      <w:r w:rsidRPr="00EE139F">
        <w:rPr>
          <w:sz w:val="24"/>
          <w:szCs w:val="24"/>
        </w:rPr>
        <w:t xml:space="preserve">не соответствует по существу условиям закупки, т.к. собственное время отключения выключателя (ВБМ-10) 40 </w:t>
      </w:r>
      <w:proofErr w:type="spellStart"/>
      <w:r w:rsidRPr="00EE139F">
        <w:rPr>
          <w:sz w:val="24"/>
          <w:szCs w:val="24"/>
        </w:rPr>
        <w:t>мс</w:t>
      </w:r>
      <w:proofErr w:type="spellEnd"/>
      <w:r w:rsidRPr="00EE139F">
        <w:rPr>
          <w:sz w:val="24"/>
          <w:szCs w:val="24"/>
        </w:rPr>
        <w:t xml:space="preserve">, что не соответствует требованиям опросных листов (30 </w:t>
      </w:r>
      <w:proofErr w:type="spellStart"/>
      <w:r w:rsidRPr="00EE139F">
        <w:rPr>
          <w:sz w:val="24"/>
          <w:szCs w:val="24"/>
        </w:rPr>
        <w:t>мс</w:t>
      </w:r>
      <w:proofErr w:type="spellEnd"/>
      <w:r w:rsidRPr="00EE139F">
        <w:rPr>
          <w:sz w:val="24"/>
          <w:szCs w:val="24"/>
        </w:rPr>
        <w:t xml:space="preserve">). Конструкция привода предложенного выключателя (с механической защелкой) не соответствует запрашиваемым требованиям (с магнитной защелкой). Масса предложенного выключателя (86 кг) значительно превышает массу запрашиваемого выключателя (34-56 кг). Предлагается </w:t>
      </w:r>
      <w:r w:rsidRPr="00EE139F">
        <w:rPr>
          <w:b/>
          <w:i/>
          <w:sz w:val="24"/>
          <w:szCs w:val="24"/>
        </w:rPr>
        <w:t>отклонить</w:t>
      </w:r>
      <w:r w:rsidRPr="00EE139F">
        <w:rPr>
          <w:sz w:val="24"/>
          <w:szCs w:val="24"/>
        </w:rPr>
        <w:t xml:space="preserve"> данное предложение от дальнейшего рассмотрения.</w:t>
      </w:r>
    </w:p>
    <w:p w:rsidR="00EE139F" w:rsidRPr="00EE139F" w:rsidRDefault="00EE139F" w:rsidP="00EE139F">
      <w:pPr>
        <w:spacing w:line="240" w:lineRule="auto"/>
        <w:contextualSpacing/>
        <w:rPr>
          <w:sz w:val="24"/>
          <w:szCs w:val="24"/>
        </w:rPr>
      </w:pPr>
      <w:r w:rsidRPr="00EE139F">
        <w:rPr>
          <w:sz w:val="24"/>
          <w:szCs w:val="24"/>
        </w:rPr>
        <w:t xml:space="preserve">Предложение </w:t>
      </w:r>
      <w:r w:rsidRPr="00EE139F">
        <w:rPr>
          <w:b/>
          <w:i/>
          <w:snapToGrid/>
          <w:sz w:val="24"/>
          <w:szCs w:val="24"/>
        </w:rPr>
        <w:t xml:space="preserve">ЗАО "ДЭТК" г. Хабаровск </w:t>
      </w:r>
      <w:r w:rsidRPr="00EE139F">
        <w:rPr>
          <w:sz w:val="24"/>
          <w:szCs w:val="24"/>
        </w:rPr>
        <w:t>(предложение на сумму 9 200 000,00 рублей без НДС)</w:t>
      </w:r>
      <w:r w:rsidRPr="00EE139F">
        <w:rPr>
          <w:b/>
          <w:i/>
          <w:sz w:val="24"/>
          <w:szCs w:val="24"/>
        </w:rPr>
        <w:t xml:space="preserve"> </w:t>
      </w:r>
      <w:r w:rsidRPr="00EE139F">
        <w:rPr>
          <w:sz w:val="24"/>
          <w:szCs w:val="24"/>
        </w:rPr>
        <w:t xml:space="preserve">не соответствует по существу условиям закупки, т.к. участником предложены выключатели типа ВВМ-СЭЩ. В связи с тем, что по договору № 3 от </w:t>
      </w:r>
      <w:r w:rsidRPr="00EE139F">
        <w:rPr>
          <w:sz w:val="24"/>
          <w:szCs w:val="24"/>
        </w:rPr>
        <w:lastRenderedPageBreak/>
        <w:t xml:space="preserve">15.01.2014г. с ООО «Таврида Электрик </w:t>
      </w:r>
      <w:proofErr w:type="gramStart"/>
      <w:r w:rsidRPr="00EE139F">
        <w:rPr>
          <w:sz w:val="24"/>
          <w:szCs w:val="24"/>
        </w:rPr>
        <w:t>МСК</w:t>
      </w:r>
      <w:proofErr w:type="gramEnd"/>
      <w:r w:rsidRPr="00EE139F">
        <w:rPr>
          <w:sz w:val="24"/>
          <w:szCs w:val="24"/>
        </w:rPr>
        <w:t xml:space="preserve">» для ПС 35/6 </w:t>
      </w:r>
      <w:proofErr w:type="spellStart"/>
      <w:r w:rsidRPr="00EE139F">
        <w:rPr>
          <w:sz w:val="24"/>
          <w:szCs w:val="24"/>
        </w:rPr>
        <w:t>кВ</w:t>
      </w:r>
      <w:proofErr w:type="spellEnd"/>
      <w:r w:rsidRPr="00EE139F">
        <w:rPr>
          <w:sz w:val="24"/>
          <w:szCs w:val="24"/>
        </w:rPr>
        <w:t xml:space="preserve"> «Базовая» были закуплены </w:t>
      </w:r>
      <w:proofErr w:type="spellStart"/>
      <w:r w:rsidRPr="00EE139F">
        <w:rPr>
          <w:sz w:val="24"/>
          <w:szCs w:val="24"/>
        </w:rPr>
        <w:t>выкатные</w:t>
      </w:r>
      <w:proofErr w:type="spellEnd"/>
      <w:r w:rsidRPr="00EE139F">
        <w:rPr>
          <w:sz w:val="24"/>
          <w:szCs w:val="24"/>
        </w:rPr>
        <w:t xml:space="preserve"> элементы к ячейке КРУ 10 серии К-59-ВЭ/</w:t>
      </w:r>
      <w:r w:rsidRPr="00EE139F">
        <w:rPr>
          <w:sz w:val="24"/>
          <w:szCs w:val="24"/>
          <w:lang w:val="en-US"/>
        </w:rPr>
        <w:t>TEL</w:t>
      </w:r>
      <w:r w:rsidRPr="00EE139F">
        <w:rPr>
          <w:sz w:val="24"/>
          <w:szCs w:val="24"/>
        </w:rPr>
        <w:t xml:space="preserve">-10-20/1000-У2 с выключателем </w:t>
      </w:r>
      <w:r w:rsidRPr="00EE139F">
        <w:rPr>
          <w:sz w:val="24"/>
          <w:szCs w:val="24"/>
          <w:lang w:val="en-US"/>
        </w:rPr>
        <w:t>BB</w:t>
      </w:r>
      <w:r w:rsidRPr="00EE139F">
        <w:rPr>
          <w:sz w:val="24"/>
          <w:szCs w:val="24"/>
        </w:rPr>
        <w:t>/</w:t>
      </w:r>
      <w:r w:rsidRPr="00EE139F">
        <w:rPr>
          <w:sz w:val="24"/>
          <w:szCs w:val="24"/>
          <w:lang w:val="en-US"/>
        </w:rPr>
        <w:t>TEL</w:t>
      </w:r>
      <w:r w:rsidRPr="00EE139F">
        <w:rPr>
          <w:sz w:val="24"/>
          <w:szCs w:val="24"/>
        </w:rPr>
        <w:t xml:space="preserve">-10 в количестве 2 шт., а также в целях унификации оборудования (в едином КРУ один тип коммутационных выключателей) тип и марка оборудования, указанные в техническом задании, изменению не подлежат. Предлагается </w:t>
      </w:r>
      <w:r w:rsidRPr="00EE139F">
        <w:rPr>
          <w:b/>
          <w:i/>
          <w:sz w:val="24"/>
          <w:szCs w:val="24"/>
        </w:rPr>
        <w:t>отклонить</w:t>
      </w:r>
      <w:r w:rsidRPr="00EE139F">
        <w:rPr>
          <w:sz w:val="24"/>
          <w:szCs w:val="24"/>
        </w:rPr>
        <w:t xml:space="preserve"> данное предложение от дальнейшего рассмотрения.</w:t>
      </w:r>
    </w:p>
    <w:p w:rsidR="00EE139F" w:rsidRPr="00EE139F" w:rsidRDefault="00EE139F" w:rsidP="00EE139F">
      <w:pPr>
        <w:spacing w:line="240" w:lineRule="auto"/>
        <w:contextualSpacing/>
        <w:rPr>
          <w:sz w:val="24"/>
          <w:szCs w:val="24"/>
        </w:rPr>
      </w:pPr>
      <w:r w:rsidRPr="00EE139F">
        <w:rPr>
          <w:sz w:val="24"/>
          <w:szCs w:val="24"/>
        </w:rPr>
        <w:t xml:space="preserve">Предложение </w:t>
      </w:r>
      <w:r w:rsidRPr="00EE139F">
        <w:rPr>
          <w:b/>
          <w:i/>
          <w:snapToGrid/>
          <w:sz w:val="24"/>
          <w:szCs w:val="24"/>
        </w:rPr>
        <w:t>ЗАО "ГК "Электрощит</w:t>
      </w:r>
      <w:proofErr w:type="gramStart"/>
      <w:r w:rsidRPr="00EE139F">
        <w:rPr>
          <w:b/>
          <w:i/>
          <w:snapToGrid/>
          <w:sz w:val="24"/>
          <w:szCs w:val="24"/>
        </w:rPr>
        <w:t>"-</w:t>
      </w:r>
      <w:proofErr w:type="gramEnd"/>
      <w:r w:rsidRPr="00EE139F">
        <w:rPr>
          <w:b/>
          <w:i/>
          <w:snapToGrid/>
          <w:sz w:val="24"/>
          <w:szCs w:val="24"/>
        </w:rPr>
        <w:t xml:space="preserve">ТМ Самара"  г. Самара </w:t>
      </w:r>
      <w:r w:rsidRPr="00EE139F">
        <w:rPr>
          <w:sz w:val="24"/>
          <w:szCs w:val="24"/>
        </w:rPr>
        <w:t>(предложение на сумму 12 000 000,00 рублей без НДС)</w:t>
      </w:r>
      <w:r w:rsidRPr="00EE139F">
        <w:rPr>
          <w:b/>
          <w:i/>
          <w:sz w:val="24"/>
          <w:szCs w:val="24"/>
        </w:rPr>
        <w:t xml:space="preserve"> </w:t>
      </w:r>
      <w:r w:rsidRPr="00EE139F">
        <w:rPr>
          <w:sz w:val="24"/>
          <w:szCs w:val="24"/>
        </w:rPr>
        <w:t xml:space="preserve">не соответствует по существу условиям закупки, т.к. участником предложены выключатели типа ВВМ-СЭЩ. В связи с тем, что по договору № 3 от 15.01.2014г. с ООО «Таврида Электрик </w:t>
      </w:r>
      <w:proofErr w:type="gramStart"/>
      <w:r w:rsidRPr="00EE139F">
        <w:rPr>
          <w:sz w:val="24"/>
          <w:szCs w:val="24"/>
        </w:rPr>
        <w:t>МСК</w:t>
      </w:r>
      <w:proofErr w:type="gramEnd"/>
      <w:r w:rsidRPr="00EE139F">
        <w:rPr>
          <w:sz w:val="24"/>
          <w:szCs w:val="24"/>
        </w:rPr>
        <w:t xml:space="preserve">» для ПС 35/6 </w:t>
      </w:r>
      <w:proofErr w:type="spellStart"/>
      <w:r w:rsidRPr="00EE139F">
        <w:rPr>
          <w:sz w:val="24"/>
          <w:szCs w:val="24"/>
        </w:rPr>
        <w:t>кВ</w:t>
      </w:r>
      <w:proofErr w:type="spellEnd"/>
      <w:r w:rsidRPr="00EE139F">
        <w:rPr>
          <w:sz w:val="24"/>
          <w:szCs w:val="24"/>
        </w:rPr>
        <w:t xml:space="preserve"> «Базовая» были закуплены </w:t>
      </w:r>
      <w:proofErr w:type="spellStart"/>
      <w:r w:rsidRPr="00EE139F">
        <w:rPr>
          <w:sz w:val="24"/>
          <w:szCs w:val="24"/>
        </w:rPr>
        <w:t>выкатные</w:t>
      </w:r>
      <w:proofErr w:type="spellEnd"/>
      <w:r w:rsidRPr="00EE139F">
        <w:rPr>
          <w:sz w:val="24"/>
          <w:szCs w:val="24"/>
        </w:rPr>
        <w:t xml:space="preserve"> элементы к ячейке КРУ 10 серии К-59-ВЭ/</w:t>
      </w:r>
      <w:r w:rsidRPr="00EE139F">
        <w:rPr>
          <w:sz w:val="24"/>
          <w:szCs w:val="24"/>
          <w:lang w:val="en-US"/>
        </w:rPr>
        <w:t>TEL</w:t>
      </w:r>
      <w:r w:rsidRPr="00EE139F">
        <w:rPr>
          <w:sz w:val="24"/>
          <w:szCs w:val="24"/>
        </w:rPr>
        <w:t xml:space="preserve">-10-20/1000-У2 с выключателем </w:t>
      </w:r>
      <w:r w:rsidRPr="00EE139F">
        <w:rPr>
          <w:sz w:val="24"/>
          <w:szCs w:val="24"/>
          <w:lang w:val="en-US"/>
        </w:rPr>
        <w:t>BB</w:t>
      </w:r>
      <w:r w:rsidRPr="00EE139F">
        <w:rPr>
          <w:sz w:val="24"/>
          <w:szCs w:val="24"/>
        </w:rPr>
        <w:t>/</w:t>
      </w:r>
      <w:r w:rsidRPr="00EE139F">
        <w:rPr>
          <w:sz w:val="24"/>
          <w:szCs w:val="24"/>
          <w:lang w:val="en-US"/>
        </w:rPr>
        <w:t>TEL</w:t>
      </w:r>
      <w:r w:rsidRPr="00EE139F">
        <w:rPr>
          <w:sz w:val="24"/>
          <w:szCs w:val="24"/>
        </w:rPr>
        <w:t xml:space="preserve">-10 в количестве 2 шт., а также в целях унификации оборудования (в едином КРУ один тип коммутационных выключателей) тип и марка оборудования, указанные в техническом задании, изменению не подлежат. Предлагается </w:t>
      </w:r>
      <w:r w:rsidRPr="00EE139F">
        <w:rPr>
          <w:b/>
          <w:i/>
          <w:sz w:val="24"/>
          <w:szCs w:val="24"/>
        </w:rPr>
        <w:t>отклонить</w:t>
      </w:r>
      <w:r w:rsidRPr="00EE139F">
        <w:rPr>
          <w:sz w:val="24"/>
          <w:szCs w:val="24"/>
        </w:rPr>
        <w:t xml:space="preserve"> данное предложение от дальнейшего рассмотрения.</w:t>
      </w:r>
    </w:p>
    <w:p w:rsidR="00EE139F" w:rsidRPr="00EE139F" w:rsidRDefault="00EE139F" w:rsidP="00EE139F">
      <w:pPr>
        <w:spacing w:line="240" w:lineRule="auto"/>
        <w:contextualSpacing/>
        <w:rPr>
          <w:sz w:val="24"/>
          <w:szCs w:val="24"/>
        </w:rPr>
      </w:pPr>
      <w:r w:rsidRPr="00EE139F">
        <w:rPr>
          <w:sz w:val="24"/>
          <w:szCs w:val="24"/>
        </w:rPr>
        <w:t xml:space="preserve">Предложение </w:t>
      </w:r>
      <w:r w:rsidRPr="00EE139F">
        <w:rPr>
          <w:b/>
          <w:i/>
          <w:snapToGrid/>
          <w:sz w:val="24"/>
          <w:szCs w:val="24"/>
        </w:rPr>
        <w:t>ООО "</w:t>
      </w:r>
      <w:proofErr w:type="spellStart"/>
      <w:r w:rsidRPr="00EE139F">
        <w:rPr>
          <w:b/>
          <w:i/>
          <w:snapToGrid/>
          <w:sz w:val="24"/>
          <w:szCs w:val="24"/>
        </w:rPr>
        <w:t>РиМтехэнерго</w:t>
      </w:r>
      <w:proofErr w:type="spellEnd"/>
      <w:r w:rsidRPr="00EE139F">
        <w:rPr>
          <w:b/>
          <w:i/>
          <w:snapToGrid/>
          <w:sz w:val="24"/>
          <w:szCs w:val="24"/>
        </w:rPr>
        <w:t xml:space="preserve">"  г. Новосибирск </w:t>
      </w:r>
      <w:r w:rsidRPr="00EE139F">
        <w:rPr>
          <w:sz w:val="24"/>
          <w:szCs w:val="24"/>
        </w:rPr>
        <w:t>(предложение на сумму 12 137 690,34</w:t>
      </w:r>
      <w:r w:rsidRPr="00EE139F">
        <w:rPr>
          <w:snapToGrid/>
          <w:sz w:val="22"/>
          <w:szCs w:val="22"/>
        </w:rPr>
        <w:t xml:space="preserve"> </w:t>
      </w:r>
      <w:r w:rsidRPr="00EE139F">
        <w:rPr>
          <w:sz w:val="24"/>
          <w:szCs w:val="24"/>
        </w:rPr>
        <w:t xml:space="preserve"> рублей без НДС)</w:t>
      </w:r>
      <w:r w:rsidRPr="00EE139F">
        <w:rPr>
          <w:b/>
          <w:i/>
          <w:sz w:val="24"/>
          <w:szCs w:val="24"/>
        </w:rPr>
        <w:t xml:space="preserve"> </w:t>
      </w:r>
      <w:r w:rsidRPr="00EE139F">
        <w:rPr>
          <w:sz w:val="24"/>
          <w:szCs w:val="24"/>
        </w:rPr>
        <w:t>не соответствует по существу условиям закупки, т.к. участником предложены силовые выключатели типа ВР1-10 и ВР2-10, что не соответствует п. 3.4 ТЗ. В предложении участника отсутствуют документы, подтверждающие наличие деловых связей с производителем предлагаемого оборудования, что не соответствует п. 4.1. ТЗ. Для ПС «Инструментальная» предложен выключатель с номинальным током 630</w:t>
      </w:r>
      <w:proofErr w:type="gramStart"/>
      <w:r w:rsidRPr="00EE139F">
        <w:rPr>
          <w:sz w:val="24"/>
          <w:szCs w:val="24"/>
        </w:rPr>
        <w:t xml:space="preserve"> А</w:t>
      </w:r>
      <w:proofErr w:type="gramEnd"/>
      <w:r w:rsidRPr="00EE139F">
        <w:rPr>
          <w:sz w:val="24"/>
          <w:szCs w:val="24"/>
        </w:rPr>
        <w:t xml:space="preserve">, что не соответствует опросному листу (1000 А). Собственное время отключения выключателя ВР1-10 42 </w:t>
      </w:r>
      <w:proofErr w:type="spellStart"/>
      <w:r w:rsidRPr="00EE139F">
        <w:rPr>
          <w:sz w:val="24"/>
          <w:szCs w:val="24"/>
        </w:rPr>
        <w:t>мс</w:t>
      </w:r>
      <w:proofErr w:type="spellEnd"/>
      <w:r w:rsidRPr="00EE139F">
        <w:rPr>
          <w:sz w:val="24"/>
          <w:szCs w:val="24"/>
        </w:rPr>
        <w:t xml:space="preserve">, что не соответствует требованиям опросных листов (30 </w:t>
      </w:r>
      <w:proofErr w:type="spellStart"/>
      <w:r w:rsidRPr="00EE139F">
        <w:rPr>
          <w:sz w:val="24"/>
          <w:szCs w:val="24"/>
        </w:rPr>
        <w:t>мс</w:t>
      </w:r>
      <w:proofErr w:type="spellEnd"/>
      <w:r w:rsidRPr="00EE139F">
        <w:rPr>
          <w:sz w:val="24"/>
          <w:szCs w:val="24"/>
        </w:rPr>
        <w:t xml:space="preserve">). Собственное время отключения выключателя ВР2-10 35.50 </w:t>
      </w:r>
      <w:proofErr w:type="spellStart"/>
      <w:r w:rsidRPr="00EE139F">
        <w:rPr>
          <w:sz w:val="24"/>
          <w:szCs w:val="24"/>
        </w:rPr>
        <w:t>мс</w:t>
      </w:r>
      <w:proofErr w:type="spellEnd"/>
      <w:r w:rsidRPr="00EE139F">
        <w:rPr>
          <w:sz w:val="24"/>
          <w:szCs w:val="24"/>
        </w:rPr>
        <w:t xml:space="preserve">, что не соответствует требованиям опросных листов (30 </w:t>
      </w:r>
      <w:proofErr w:type="spellStart"/>
      <w:r w:rsidRPr="00EE139F">
        <w:rPr>
          <w:sz w:val="24"/>
          <w:szCs w:val="24"/>
        </w:rPr>
        <w:t>мс</w:t>
      </w:r>
      <w:proofErr w:type="spellEnd"/>
      <w:proofErr w:type="gramStart"/>
      <w:r w:rsidRPr="00EE139F">
        <w:rPr>
          <w:sz w:val="24"/>
          <w:szCs w:val="24"/>
        </w:rPr>
        <w:t xml:space="preserve">).. </w:t>
      </w:r>
      <w:proofErr w:type="gramEnd"/>
      <w:r w:rsidRPr="00EE139F">
        <w:rPr>
          <w:sz w:val="24"/>
          <w:szCs w:val="24"/>
        </w:rPr>
        <w:t xml:space="preserve">Гарантийный срок (1 год) меньше запрашиваемого в ТЗ (не менее 7 лет). Предлагается </w:t>
      </w:r>
      <w:r w:rsidRPr="00EE139F">
        <w:rPr>
          <w:b/>
          <w:i/>
          <w:sz w:val="24"/>
          <w:szCs w:val="24"/>
        </w:rPr>
        <w:t>отклонить</w:t>
      </w:r>
      <w:r w:rsidRPr="00EE139F">
        <w:rPr>
          <w:sz w:val="24"/>
          <w:szCs w:val="24"/>
        </w:rPr>
        <w:t xml:space="preserve"> данное предложение от дальнейшего рассмотрения.</w:t>
      </w:r>
    </w:p>
    <w:p w:rsidR="00EE139F" w:rsidRPr="00EE139F" w:rsidRDefault="00EE139F" w:rsidP="00EE139F">
      <w:pPr>
        <w:spacing w:line="240" w:lineRule="auto"/>
        <w:contextualSpacing/>
        <w:rPr>
          <w:sz w:val="24"/>
          <w:szCs w:val="24"/>
        </w:rPr>
      </w:pPr>
    </w:p>
    <w:p w:rsidR="00EE139F" w:rsidRPr="00EE139F" w:rsidRDefault="00EE139F" w:rsidP="0029236C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bookmarkStart w:id="2" w:name="_GoBack"/>
      <w:bookmarkEnd w:id="2"/>
      <w:proofErr w:type="gramStart"/>
      <w:r w:rsidRPr="00EE139F">
        <w:rPr>
          <w:bCs/>
          <w:i/>
          <w:iCs/>
          <w:snapToGrid/>
          <w:sz w:val="24"/>
          <w:szCs w:val="24"/>
        </w:rPr>
        <w:t xml:space="preserve">ВОПРОС 3  «О предварительной </w:t>
      </w:r>
      <w:proofErr w:type="spellStart"/>
      <w:r w:rsidRPr="00EE139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EE139F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EE139F" w:rsidRPr="00EE139F" w:rsidRDefault="00EE139F" w:rsidP="00EE139F">
      <w:pPr>
        <w:spacing w:line="240" w:lineRule="auto"/>
        <w:rPr>
          <w:sz w:val="24"/>
          <w:szCs w:val="24"/>
        </w:rPr>
      </w:pPr>
    </w:p>
    <w:p w:rsidR="00EE139F" w:rsidRPr="00EE139F" w:rsidRDefault="00EE139F" w:rsidP="00EE139F">
      <w:pPr>
        <w:spacing w:line="240" w:lineRule="auto"/>
        <w:rPr>
          <w:sz w:val="24"/>
          <w:szCs w:val="24"/>
        </w:rPr>
      </w:pPr>
      <w:r w:rsidRPr="00EE139F">
        <w:rPr>
          <w:sz w:val="24"/>
          <w:szCs w:val="24"/>
        </w:rPr>
        <w:t>ОТМЕТИЛИ:</w:t>
      </w:r>
    </w:p>
    <w:p w:rsidR="00EE139F" w:rsidRPr="00EE139F" w:rsidRDefault="00EE139F" w:rsidP="00EE139F">
      <w:pPr>
        <w:spacing w:line="240" w:lineRule="auto"/>
        <w:rPr>
          <w:sz w:val="24"/>
          <w:szCs w:val="24"/>
        </w:rPr>
      </w:pPr>
      <w:r w:rsidRPr="00EE139F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EE139F" w:rsidRPr="00EE139F" w:rsidTr="00FC5345">
        <w:tc>
          <w:tcPr>
            <w:tcW w:w="1276" w:type="dxa"/>
            <w:shd w:val="clear" w:color="auto" w:fill="auto"/>
          </w:tcPr>
          <w:p w:rsidR="00EE139F" w:rsidRPr="00EE139F" w:rsidRDefault="00EE139F" w:rsidP="00EE139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E1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EE1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E139F" w:rsidRPr="00EE139F" w:rsidRDefault="00EE139F" w:rsidP="00EE139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E1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EE139F" w:rsidRPr="00EE139F" w:rsidRDefault="00EE139F" w:rsidP="00EE139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E139F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EE139F" w:rsidRPr="00EE139F" w:rsidTr="00FC5345">
        <w:tc>
          <w:tcPr>
            <w:tcW w:w="1276" w:type="dxa"/>
            <w:shd w:val="clear" w:color="auto" w:fill="auto"/>
          </w:tcPr>
          <w:p w:rsidR="00EE139F" w:rsidRPr="00EE139F" w:rsidRDefault="00EE139F" w:rsidP="00EE139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E139F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EE139F" w:rsidRPr="00EE139F" w:rsidRDefault="00EE139F" w:rsidP="00EE139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139F">
              <w:rPr>
                <w:b/>
                <w:i/>
                <w:snapToGrid/>
                <w:sz w:val="22"/>
                <w:szCs w:val="22"/>
              </w:rPr>
              <w:t xml:space="preserve">ООО "Таврида Электрик </w:t>
            </w:r>
            <w:proofErr w:type="gramStart"/>
            <w:r w:rsidRPr="00EE139F">
              <w:rPr>
                <w:b/>
                <w:i/>
                <w:snapToGrid/>
                <w:sz w:val="22"/>
                <w:szCs w:val="22"/>
              </w:rPr>
              <w:t>МСК</w:t>
            </w:r>
            <w:proofErr w:type="gramEnd"/>
            <w:r w:rsidRPr="00EE139F">
              <w:rPr>
                <w:b/>
                <w:i/>
                <w:snapToGrid/>
                <w:sz w:val="22"/>
                <w:szCs w:val="22"/>
              </w:rPr>
              <w:t>"</w:t>
            </w:r>
            <w:r w:rsidRPr="00EE139F">
              <w:rPr>
                <w:snapToGrid/>
                <w:sz w:val="22"/>
                <w:szCs w:val="22"/>
              </w:rPr>
              <w:t xml:space="preserve"> (125040, г. Москва, 5-я ул. Ямского Поля, д.5, стр.1, этаж 19)</w:t>
            </w:r>
          </w:p>
        </w:tc>
        <w:tc>
          <w:tcPr>
            <w:tcW w:w="5954" w:type="dxa"/>
            <w:shd w:val="clear" w:color="auto" w:fill="auto"/>
          </w:tcPr>
          <w:p w:rsidR="00EE139F" w:rsidRPr="00EE139F" w:rsidRDefault="00EE139F" w:rsidP="00EE139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139F">
              <w:rPr>
                <w:snapToGrid/>
                <w:sz w:val="22"/>
                <w:szCs w:val="22"/>
              </w:rPr>
              <w:t>Цена: 12 655 605,93 руб. (цена без НДС)</w:t>
            </w:r>
          </w:p>
          <w:p w:rsidR="00EE139F" w:rsidRPr="00EE139F" w:rsidRDefault="00EE139F" w:rsidP="00EE139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139F">
              <w:rPr>
                <w:snapToGrid/>
                <w:sz w:val="22"/>
                <w:szCs w:val="22"/>
              </w:rPr>
              <w:t>(14 933 615,00 рублей с учетом НДС).</w:t>
            </w:r>
          </w:p>
          <w:p w:rsidR="00EE139F" w:rsidRPr="00EE139F" w:rsidRDefault="00EE139F" w:rsidP="00EE139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139F">
              <w:rPr>
                <w:snapToGrid/>
                <w:sz w:val="22"/>
                <w:szCs w:val="22"/>
              </w:rPr>
              <w:t>Срок начала поставки: до 30.05.2014г.</w:t>
            </w:r>
          </w:p>
          <w:p w:rsidR="00EE139F" w:rsidRPr="00EE139F" w:rsidRDefault="00EE139F" w:rsidP="00EE139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139F">
              <w:rPr>
                <w:snapToGrid/>
                <w:sz w:val="22"/>
                <w:szCs w:val="22"/>
              </w:rPr>
              <w:t>Срок завершения поставки: до 30.06.2014г.</w:t>
            </w:r>
          </w:p>
          <w:p w:rsidR="00EE139F" w:rsidRPr="00EE139F" w:rsidRDefault="00EE139F" w:rsidP="00EE139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139F">
              <w:rPr>
                <w:snapToGrid/>
                <w:sz w:val="22"/>
                <w:szCs w:val="22"/>
              </w:rPr>
              <w:t>Условия оплаты: для филиала ПЭС до 30.06.2014г., для филиала АЭС до 30.07.2014г.</w:t>
            </w:r>
          </w:p>
          <w:p w:rsidR="00EE139F" w:rsidRPr="00EE139F" w:rsidRDefault="00EE139F" w:rsidP="00EE139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139F">
              <w:rPr>
                <w:snapToGrid/>
                <w:sz w:val="22"/>
                <w:szCs w:val="22"/>
              </w:rPr>
              <w:t xml:space="preserve">Гарантийный срок: 7 лет </w:t>
            </w:r>
            <w:proofErr w:type="gramStart"/>
            <w:r w:rsidRPr="00EE139F">
              <w:rPr>
                <w:snapToGrid/>
                <w:sz w:val="22"/>
                <w:szCs w:val="22"/>
              </w:rPr>
              <w:t>с даты производства</w:t>
            </w:r>
            <w:proofErr w:type="gramEnd"/>
            <w:r w:rsidRPr="00EE139F">
              <w:rPr>
                <w:snapToGrid/>
                <w:sz w:val="22"/>
                <w:szCs w:val="22"/>
              </w:rPr>
              <w:t>.</w:t>
            </w:r>
          </w:p>
          <w:p w:rsidR="00EE139F" w:rsidRPr="00EE139F" w:rsidRDefault="00EE139F" w:rsidP="00EE139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139F">
              <w:rPr>
                <w:snapToGrid/>
                <w:sz w:val="22"/>
                <w:szCs w:val="22"/>
              </w:rPr>
              <w:t>Предложение действительно до 30 июня 2014г.</w:t>
            </w:r>
          </w:p>
        </w:tc>
      </w:tr>
      <w:tr w:rsidR="00EE139F" w:rsidRPr="00EE139F" w:rsidTr="00FC5345">
        <w:tc>
          <w:tcPr>
            <w:tcW w:w="1276" w:type="dxa"/>
            <w:shd w:val="clear" w:color="auto" w:fill="auto"/>
          </w:tcPr>
          <w:p w:rsidR="00EE139F" w:rsidRPr="00EE139F" w:rsidRDefault="00EE139F" w:rsidP="00EE139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E139F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EE139F" w:rsidRPr="00EE139F" w:rsidRDefault="00EE139F" w:rsidP="00EE139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EE139F">
              <w:rPr>
                <w:b/>
                <w:i/>
                <w:snapToGrid/>
                <w:sz w:val="22"/>
                <w:szCs w:val="22"/>
              </w:rPr>
              <w:t>ООО "ТЭЛПРО Инжиниринг"</w:t>
            </w:r>
            <w:r w:rsidRPr="00EE139F">
              <w:rPr>
                <w:snapToGrid/>
                <w:sz w:val="22"/>
                <w:szCs w:val="22"/>
              </w:rPr>
              <w:t xml:space="preserve"> (121351, Россия, г. Москва, ул. Партизанская, д. 35, корп. 3)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EE139F" w:rsidRPr="00EE139F" w:rsidRDefault="00EE139F" w:rsidP="00EE139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139F">
              <w:rPr>
                <w:snapToGrid/>
                <w:sz w:val="22"/>
                <w:szCs w:val="22"/>
              </w:rPr>
              <w:t>Цена: 12 719 999,71 руб. (цена без НДС)</w:t>
            </w:r>
          </w:p>
          <w:p w:rsidR="00EE139F" w:rsidRPr="00EE139F" w:rsidRDefault="00EE139F" w:rsidP="00EE139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139F">
              <w:rPr>
                <w:snapToGrid/>
                <w:sz w:val="22"/>
                <w:szCs w:val="22"/>
              </w:rPr>
              <w:t>(15 009 599,66 рублей с учетом НДС).</w:t>
            </w:r>
          </w:p>
          <w:p w:rsidR="00EE139F" w:rsidRPr="00EE139F" w:rsidRDefault="00EE139F" w:rsidP="00EE139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139F">
              <w:rPr>
                <w:snapToGrid/>
                <w:sz w:val="22"/>
                <w:szCs w:val="22"/>
              </w:rPr>
              <w:t>Срок начала поставки: до 30.05.2014г.</w:t>
            </w:r>
          </w:p>
          <w:p w:rsidR="00EE139F" w:rsidRPr="00EE139F" w:rsidRDefault="00EE139F" w:rsidP="00EE139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139F">
              <w:rPr>
                <w:snapToGrid/>
                <w:sz w:val="22"/>
                <w:szCs w:val="22"/>
              </w:rPr>
              <w:t>Срок завершения поставки: до 30.06.2014г.</w:t>
            </w:r>
          </w:p>
          <w:p w:rsidR="00EE139F" w:rsidRPr="00EE139F" w:rsidRDefault="00EE139F" w:rsidP="00EE139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139F">
              <w:rPr>
                <w:snapToGrid/>
                <w:sz w:val="22"/>
                <w:szCs w:val="22"/>
              </w:rPr>
              <w:t>Условия оплаты: для филиала ПЭС до 30.06.2014г., для филиала АЭС до 30.07.2014г.</w:t>
            </w:r>
          </w:p>
          <w:p w:rsidR="00EE139F" w:rsidRPr="00EE139F" w:rsidRDefault="00EE139F" w:rsidP="00EE139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139F">
              <w:rPr>
                <w:snapToGrid/>
                <w:sz w:val="22"/>
                <w:szCs w:val="22"/>
              </w:rPr>
              <w:t xml:space="preserve">Гарантийный срок: 7 лет </w:t>
            </w:r>
            <w:proofErr w:type="gramStart"/>
            <w:r w:rsidRPr="00EE139F">
              <w:rPr>
                <w:snapToGrid/>
                <w:sz w:val="22"/>
                <w:szCs w:val="22"/>
              </w:rPr>
              <w:t>с даты производства</w:t>
            </w:r>
            <w:proofErr w:type="gramEnd"/>
            <w:r w:rsidRPr="00EE139F">
              <w:rPr>
                <w:snapToGrid/>
                <w:sz w:val="22"/>
                <w:szCs w:val="22"/>
              </w:rPr>
              <w:t>.</w:t>
            </w:r>
          </w:p>
          <w:p w:rsidR="00EE139F" w:rsidRPr="00EE139F" w:rsidRDefault="00EE139F" w:rsidP="00EE139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139F">
              <w:rPr>
                <w:snapToGrid/>
                <w:sz w:val="22"/>
                <w:szCs w:val="22"/>
              </w:rPr>
              <w:t>Предложение действительно до 30 июня 2014г.</w:t>
            </w:r>
          </w:p>
        </w:tc>
      </w:tr>
    </w:tbl>
    <w:p w:rsidR="00EE139F" w:rsidRPr="00EE139F" w:rsidRDefault="00EE139F" w:rsidP="00EE139F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EE139F" w:rsidRPr="00EE139F" w:rsidRDefault="00EE139F" w:rsidP="00EE139F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EE139F">
        <w:rPr>
          <w:bCs/>
          <w:i/>
          <w:iCs/>
          <w:snapToGrid/>
          <w:sz w:val="24"/>
          <w:szCs w:val="24"/>
        </w:rPr>
        <w:lastRenderedPageBreak/>
        <w:t xml:space="preserve">ВОПРОС 4 </w:t>
      </w:r>
      <w:r w:rsidRPr="00EE139F">
        <w:rPr>
          <w:i/>
          <w:snapToGrid/>
          <w:sz w:val="24"/>
          <w:szCs w:val="24"/>
        </w:rPr>
        <w:t>«О проведении переторжки»</w:t>
      </w:r>
    </w:p>
    <w:p w:rsidR="00EE139F" w:rsidRPr="00EE139F" w:rsidRDefault="00EE139F" w:rsidP="00EE139F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</w:p>
    <w:p w:rsidR="00EE139F" w:rsidRPr="00EE139F" w:rsidRDefault="00EE139F" w:rsidP="00EE139F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E139F">
        <w:rPr>
          <w:snapToGrid/>
          <w:sz w:val="24"/>
          <w:szCs w:val="24"/>
        </w:rPr>
        <w:t>ОТМЕТИЛИ:</w:t>
      </w:r>
    </w:p>
    <w:p w:rsidR="00EE139F" w:rsidRPr="00EE139F" w:rsidRDefault="00EE139F" w:rsidP="00EE139F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E139F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EE139F" w:rsidRPr="00EE139F" w:rsidRDefault="00EE139F" w:rsidP="00EE139F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EE139F">
        <w:rPr>
          <w:b/>
          <w:snapToGrid/>
          <w:sz w:val="24"/>
          <w:szCs w:val="24"/>
        </w:rPr>
        <w:t>РЕШИЛИ:</w:t>
      </w:r>
    </w:p>
    <w:p w:rsidR="00EE139F" w:rsidRPr="00EE139F" w:rsidRDefault="00EE139F" w:rsidP="00EE139F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EE139F">
        <w:rPr>
          <w:snapToGrid/>
          <w:sz w:val="24"/>
          <w:szCs w:val="24"/>
        </w:rPr>
        <w:t xml:space="preserve">1. </w:t>
      </w:r>
      <w:r w:rsidRPr="00EE139F">
        <w:rPr>
          <w:b/>
          <w:snapToGrid/>
          <w:sz w:val="24"/>
          <w:szCs w:val="24"/>
        </w:rPr>
        <w:t>Признать</w:t>
      </w:r>
      <w:r w:rsidRPr="00EE139F">
        <w:rPr>
          <w:snapToGrid/>
          <w:sz w:val="24"/>
          <w:szCs w:val="24"/>
        </w:rPr>
        <w:t xml:space="preserve"> предложения </w:t>
      </w:r>
      <w:r w:rsidRPr="00EE139F">
        <w:rPr>
          <w:b/>
          <w:i/>
          <w:sz w:val="24"/>
          <w:szCs w:val="24"/>
        </w:rPr>
        <w:t xml:space="preserve">ООО "Таврида Электрик </w:t>
      </w:r>
      <w:proofErr w:type="gramStart"/>
      <w:r w:rsidRPr="00EE139F">
        <w:rPr>
          <w:b/>
          <w:i/>
          <w:sz w:val="24"/>
          <w:szCs w:val="24"/>
        </w:rPr>
        <w:t>МСК</w:t>
      </w:r>
      <w:proofErr w:type="gramEnd"/>
      <w:r w:rsidRPr="00EE139F">
        <w:rPr>
          <w:b/>
          <w:i/>
          <w:sz w:val="24"/>
          <w:szCs w:val="24"/>
        </w:rPr>
        <w:t xml:space="preserve">" г. Москва, ООО "ТЭЛПРО Инжиниринг" г. Москва  </w:t>
      </w:r>
      <w:r w:rsidRPr="00EE139F">
        <w:rPr>
          <w:snapToGrid/>
          <w:sz w:val="24"/>
          <w:szCs w:val="24"/>
        </w:rPr>
        <w:t>соответствующими условиям закупки.</w:t>
      </w:r>
    </w:p>
    <w:p w:rsidR="00EE139F" w:rsidRPr="00EE139F" w:rsidRDefault="00EE139F" w:rsidP="00EE139F">
      <w:pPr>
        <w:suppressAutoHyphens/>
        <w:spacing w:line="240" w:lineRule="auto"/>
        <w:contextualSpacing/>
        <w:rPr>
          <w:sz w:val="24"/>
          <w:szCs w:val="24"/>
        </w:rPr>
      </w:pPr>
      <w:r w:rsidRPr="00EE139F">
        <w:rPr>
          <w:snapToGrid/>
          <w:sz w:val="24"/>
          <w:szCs w:val="24"/>
        </w:rPr>
        <w:t xml:space="preserve">2. </w:t>
      </w:r>
      <w:r w:rsidRPr="00EE139F">
        <w:rPr>
          <w:b/>
          <w:snapToGrid/>
          <w:sz w:val="24"/>
          <w:szCs w:val="24"/>
        </w:rPr>
        <w:t>Отклонить</w:t>
      </w:r>
      <w:r w:rsidRPr="00EE139F">
        <w:rPr>
          <w:snapToGrid/>
          <w:sz w:val="24"/>
          <w:szCs w:val="24"/>
        </w:rPr>
        <w:t xml:space="preserve"> предложение </w:t>
      </w:r>
      <w:r w:rsidRPr="00EE139F">
        <w:rPr>
          <w:b/>
          <w:i/>
          <w:snapToGrid/>
          <w:sz w:val="24"/>
          <w:szCs w:val="24"/>
        </w:rPr>
        <w:t>ОАО "НПП "Контакт" г. Саратов</w:t>
      </w:r>
      <w:r w:rsidRPr="00EE139F">
        <w:rPr>
          <w:sz w:val="24"/>
          <w:szCs w:val="24"/>
        </w:rPr>
        <w:t xml:space="preserve">,  </w:t>
      </w:r>
      <w:r w:rsidRPr="00EE139F">
        <w:rPr>
          <w:b/>
          <w:i/>
          <w:snapToGrid/>
          <w:sz w:val="24"/>
          <w:szCs w:val="24"/>
        </w:rPr>
        <w:t>ЗАО "ДЭТК" г. Хабаровск</w:t>
      </w:r>
      <w:r w:rsidRPr="00EE139F">
        <w:rPr>
          <w:sz w:val="24"/>
          <w:szCs w:val="24"/>
        </w:rPr>
        <w:t xml:space="preserve">,  </w:t>
      </w:r>
      <w:r w:rsidRPr="00EE139F">
        <w:rPr>
          <w:b/>
          <w:i/>
          <w:snapToGrid/>
          <w:sz w:val="24"/>
          <w:szCs w:val="24"/>
        </w:rPr>
        <w:t>ЗАО "ГК "Электрощит</w:t>
      </w:r>
      <w:proofErr w:type="gramStart"/>
      <w:r w:rsidRPr="00EE139F">
        <w:rPr>
          <w:b/>
          <w:i/>
          <w:snapToGrid/>
          <w:sz w:val="24"/>
          <w:szCs w:val="24"/>
        </w:rPr>
        <w:t>"-</w:t>
      </w:r>
      <w:proofErr w:type="gramEnd"/>
      <w:r w:rsidRPr="00EE139F">
        <w:rPr>
          <w:b/>
          <w:i/>
          <w:snapToGrid/>
          <w:sz w:val="24"/>
          <w:szCs w:val="24"/>
        </w:rPr>
        <w:t>ТМ Самара"  г. Самара, ООО "</w:t>
      </w:r>
      <w:proofErr w:type="spellStart"/>
      <w:r w:rsidRPr="00EE139F">
        <w:rPr>
          <w:b/>
          <w:i/>
          <w:snapToGrid/>
          <w:sz w:val="24"/>
          <w:szCs w:val="24"/>
        </w:rPr>
        <w:t>РиМтехэнерго</w:t>
      </w:r>
      <w:proofErr w:type="spellEnd"/>
      <w:r w:rsidRPr="00EE139F">
        <w:rPr>
          <w:b/>
          <w:i/>
          <w:snapToGrid/>
          <w:sz w:val="24"/>
          <w:szCs w:val="24"/>
        </w:rPr>
        <w:t xml:space="preserve">"  г. Новосибирск </w:t>
      </w:r>
      <w:r w:rsidRPr="00EE139F">
        <w:rPr>
          <w:sz w:val="24"/>
          <w:szCs w:val="24"/>
        </w:rPr>
        <w:t xml:space="preserve"> от дальнейшего рассмотрения.</w:t>
      </w:r>
    </w:p>
    <w:p w:rsidR="00EE139F" w:rsidRPr="00EE139F" w:rsidRDefault="00EE139F" w:rsidP="00EE139F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EE139F" w:rsidRPr="00EE139F" w:rsidRDefault="00EE139F" w:rsidP="00EE139F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EE139F">
        <w:rPr>
          <w:snapToGrid/>
          <w:sz w:val="24"/>
          <w:szCs w:val="24"/>
        </w:rPr>
        <w:t xml:space="preserve">3.  </w:t>
      </w:r>
      <w:r w:rsidRPr="00EE139F">
        <w:rPr>
          <w:b/>
          <w:snapToGrid/>
          <w:sz w:val="24"/>
          <w:szCs w:val="24"/>
        </w:rPr>
        <w:t>Утвердить</w:t>
      </w:r>
      <w:r w:rsidRPr="00EE139F">
        <w:rPr>
          <w:snapToGrid/>
          <w:sz w:val="24"/>
          <w:szCs w:val="24"/>
        </w:rPr>
        <w:t xml:space="preserve"> </w:t>
      </w:r>
      <w:proofErr w:type="gramStart"/>
      <w:r w:rsidRPr="00EE139F">
        <w:rPr>
          <w:snapToGrid/>
          <w:sz w:val="24"/>
          <w:szCs w:val="24"/>
        </w:rPr>
        <w:t>предварительную</w:t>
      </w:r>
      <w:proofErr w:type="gramEnd"/>
      <w:r w:rsidRPr="00EE139F">
        <w:rPr>
          <w:snapToGrid/>
          <w:sz w:val="24"/>
          <w:szCs w:val="24"/>
        </w:rPr>
        <w:t xml:space="preserve"> </w:t>
      </w:r>
      <w:proofErr w:type="spellStart"/>
      <w:r w:rsidRPr="00EE139F">
        <w:rPr>
          <w:snapToGrid/>
          <w:sz w:val="24"/>
          <w:szCs w:val="24"/>
        </w:rPr>
        <w:t>ранжировку</w:t>
      </w:r>
      <w:proofErr w:type="spellEnd"/>
      <w:r w:rsidRPr="00EE139F">
        <w:rPr>
          <w:snapToGrid/>
          <w:sz w:val="24"/>
          <w:szCs w:val="24"/>
        </w:rPr>
        <w:t xml:space="preserve"> предложений:</w:t>
      </w:r>
    </w:p>
    <w:p w:rsidR="00EE139F" w:rsidRPr="00EE139F" w:rsidRDefault="00EE139F" w:rsidP="00EE139F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EE139F">
        <w:rPr>
          <w:snapToGrid/>
          <w:sz w:val="24"/>
          <w:szCs w:val="24"/>
        </w:rPr>
        <w:t xml:space="preserve">1 место: </w:t>
      </w:r>
      <w:r w:rsidRPr="00EE139F">
        <w:rPr>
          <w:b/>
          <w:i/>
          <w:sz w:val="24"/>
          <w:szCs w:val="24"/>
        </w:rPr>
        <w:t xml:space="preserve">ООО "Таврида Электрик </w:t>
      </w:r>
      <w:proofErr w:type="gramStart"/>
      <w:r w:rsidRPr="00EE139F">
        <w:rPr>
          <w:b/>
          <w:i/>
          <w:sz w:val="24"/>
          <w:szCs w:val="24"/>
        </w:rPr>
        <w:t>МСК</w:t>
      </w:r>
      <w:proofErr w:type="gramEnd"/>
      <w:r w:rsidRPr="00EE139F">
        <w:rPr>
          <w:b/>
          <w:i/>
          <w:sz w:val="24"/>
          <w:szCs w:val="24"/>
        </w:rPr>
        <w:t>" г. Москва;</w:t>
      </w:r>
    </w:p>
    <w:p w:rsidR="00EE139F" w:rsidRPr="00EE139F" w:rsidRDefault="00EE139F" w:rsidP="00EE139F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EE139F">
        <w:rPr>
          <w:snapToGrid/>
          <w:sz w:val="24"/>
          <w:szCs w:val="24"/>
        </w:rPr>
        <w:t xml:space="preserve">2 место: </w:t>
      </w:r>
      <w:r w:rsidRPr="00EE139F">
        <w:rPr>
          <w:b/>
          <w:i/>
          <w:sz w:val="24"/>
          <w:szCs w:val="24"/>
        </w:rPr>
        <w:t>ООО "ТЭЛПРО Инжиниринг" г. Москва.</w:t>
      </w:r>
    </w:p>
    <w:p w:rsidR="00EE139F" w:rsidRPr="00EE139F" w:rsidRDefault="00EE139F" w:rsidP="00EE139F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</w:p>
    <w:p w:rsidR="00EE139F" w:rsidRPr="00EE139F" w:rsidRDefault="00EE139F" w:rsidP="00EE139F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E139F">
        <w:rPr>
          <w:bCs/>
          <w:iCs/>
          <w:snapToGrid/>
          <w:sz w:val="24"/>
          <w:szCs w:val="24"/>
        </w:rPr>
        <w:t xml:space="preserve">4. </w:t>
      </w:r>
      <w:r w:rsidRPr="00EE139F">
        <w:rPr>
          <w:snapToGrid/>
          <w:sz w:val="24"/>
          <w:szCs w:val="24"/>
        </w:rPr>
        <w:t xml:space="preserve"> </w:t>
      </w:r>
      <w:r w:rsidRPr="00EE139F">
        <w:rPr>
          <w:b/>
          <w:snapToGrid/>
          <w:sz w:val="24"/>
          <w:szCs w:val="24"/>
        </w:rPr>
        <w:t>Провести переторжку</w:t>
      </w:r>
      <w:r w:rsidRPr="00EE139F">
        <w:rPr>
          <w:snapToGrid/>
          <w:sz w:val="24"/>
          <w:szCs w:val="24"/>
        </w:rPr>
        <w:t>.</w:t>
      </w:r>
    </w:p>
    <w:p w:rsidR="00EE139F" w:rsidRPr="00EE139F" w:rsidRDefault="00EE139F" w:rsidP="00EE139F">
      <w:pPr>
        <w:spacing w:line="240" w:lineRule="auto"/>
        <w:ind w:firstLine="0"/>
        <w:contextualSpacing/>
      </w:pPr>
      <w:r w:rsidRPr="00EE139F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EE139F">
        <w:rPr>
          <w:b/>
          <w:i/>
          <w:sz w:val="24"/>
          <w:szCs w:val="24"/>
        </w:rPr>
        <w:t xml:space="preserve">ООО "Таврида Электрик </w:t>
      </w:r>
      <w:proofErr w:type="gramStart"/>
      <w:r w:rsidRPr="00EE139F">
        <w:rPr>
          <w:b/>
          <w:i/>
          <w:sz w:val="24"/>
          <w:szCs w:val="24"/>
        </w:rPr>
        <w:t>МСК</w:t>
      </w:r>
      <w:proofErr w:type="gramEnd"/>
      <w:r w:rsidRPr="00EE139F">
        <w:rPr>
          <w:b/>
          <w:i/>
          <w:sz w:val="24"/>
          <w:szCs w:val="24"/>
        </w:rPr>
        <w:t>" г. Москва, ООО "ТЭЛПРО Инжиниринг" г. Москва</w:t>
      </w:r>
      <w:r w:rsidRPr="00EE139F">
        <w:rPr>
          <w:b/>
          <w:i/>
          <w:snapToGrid/>
          <w:sz w:val="24"/>
          <w:szCs w:val="24"/>
        </w:rPr>
        <w:t>.</w:t>
      </w:r>
      <w:r w:rsidRPr="00EE139F">
        <w:rPr>
          <w:snapToGrid/>
          <w:sz w:val="24"/>
          <w:szCs w:val="24"/>
        </w:rPr>
        <w:t xml:space="preserve"> </w:t>
      </w:r>
    </w:p>
    <w:p w:rsidR="00EE139F" w:rsidRPr="00EE139F" w:rsidRDefault="00EE139F" w:rsidP="00EE139F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EE139F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EE139F">
        <w:rPr>
          <w:snapToGrid/>
          <w:sz w:val="24"/>
          <w:szCs w:val="24"/>
        </w:rPr>
        <w:t>заочная</w:t>
      </w:r>
      <w:proofErr w:type="gramEnd"/>
      <w:r w:rsidRPr="00EE139F">
        <w:rPr>
          <w:snapToGrid/>
          <w:sz w:val="24"/>
          <w:szCs w:val="24"/>
        </w:rPr>
        <w:t>.</w:t>
      </w:r>
    </w:p>
    <w:p w:rsidR="00EE139F" w:rsidRPr="00EE139F" w:rsidRDefault="00EE139F" w:rsidP="00EE139F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EE139F">
        <w:rPr>
          <w:snapToGrid/>
          <w:sz w:val="24"/>
          <w:szCs w:val="24"/>
        </w:rPr>
        <w:t xml:space="preserve">Назначить переторжку на </w:t>
      </w:r>
      <w:r w:rsidRPr="00EE139F">
        <w:rPr>
          <w:b/>
          <w:snapToGrid/>
          <w:sz w:val="24"/>
          <w:szCs w:val="24"/>
        </w:rPr>
        <w:t>01.04.2014 в 16:00</w:t>
      </w:r>
      <w:r w:rsidRPr="00EE139F">
        <w:rPr>
          <w:snapToGrid/>
          <w:sz w:val="24"/>
          <w:szCs w:val="24"/>
        </w:rPr>
        <w:t xml:space="preserve"> час</w:t>
      </w:r>
      <w:proofErr w:type="gramStart"/>
      <w:r w:rsidRPr="00EE139F">
        <w:rPr>
          <w:snapToGrid/>
          <w:sz w:val="24"/>
          <w:szCs w:val="24"/>
        </w:rPr>
        <w:t>.</w:t>
      </w:r>
      <w:proofErr w:type="gramEnd"/>
      <w:r w:rsidRPr="00EE139F">
        <w:rPr>
          <w:snapToGrid/>
          <w:sz w:val="24"/>
          <w:szCs w:val="24"/>
        </w:rPr>
        <w:t xml:space="preserve"> (</w:t>
      </w:r>
      <w:proofErr w:type="gramStart"/>
      <w:r w:rsidRPr="00EE139F">
        <w:rPr>
          <w:snapToGrid/>
          <w:sz w:val="24"/>
          <w:szCs w:val="24"/>
        </w:rPr>
        <w:t>б</w:t>
      </w:r>
      <w:proofErr w:type="gramEnd"/>
      <w:r w:rsidRPr="00EE139F">
        <w:rPr>
          <w:snapToGrid/>
          <w:sz w:val="24"/>
          <w:szCs w:val="24"/>
        </w:rPr>
        <w:t>лаговещенского времени).</w:t>
      </w:r>
    </w:p>
    <w:p w:rsidR="00EE139F" w:rsidRPr="00EE139F" w:rsidRDefault="00EE139F" w:rsidP="00EE139F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EE139F">
        <w:rPr>
          <w:snapToGrid/>
          <w:sz w:val="24"/>
          <w:szCs w:val="24"/>
        </w:rPr>
        <w:t xml:space="preserve">Место проведения переторжки: </w:t>
      </w:r>
      <w:r w:rsidRPr="00EE139F">
        <w:rPr>
          <w:sz w:val="24"/>
          <w:szCs w:val="24"/>
        </w:rPr>
        <w:t xml:space="preserve">электронный сейф площадки </w:t>
      </w:r>
      <w:r w:rsidRPr="00EE139F">
        <w:rPr>
          <w:sz w:val="24"/>
          <w:szCs w:val="24"/>
          <w:lang w:val="en-US"/>
        </w:rPr>
        <w:t>b</w:t>
      </w:r>
      <w:r w:rsidRPr="00EE139F">
        <w:rPr>
          <w:sz w:val="24"/>
          <w:szCs w:val="24"/>
        </w:rPr>
        <w:t>2</w:t>
      </w:r>
      <w:r w:rsidRPr="00EE139F">
        <w:rPr>
          <w:sz w:val="24"/>
          <w:szCs w:val="24"/>
          <w:lang w:val="en-US"/>
        </w:rPr>
        <w:t>b</w:t>
      </w:r>
      <w:r w:rsidRPr="00EE139F">
        <w:rPr>
          <w:sz w:val="24"/>
          <w:szCs w:val="24"/>
        </w:rPr>
        <w:t>-</w:t>
      </w:r>
      <w:proofErr w:type="spellStart"/>
      <w:r w:rsidRPr="00EE139F">
        <w:rPr>
          <w:sz w:val="24"/>
          <w:szCs w:val="24"/>
          <w:lang w:val="en-US"/>
        </w:rPr>
        <w:t>energo</w:t>
      </w:r>
      <w:proofErr w:type="spellEnd"/>
    </w:p>
    <w:p w:rsidR="00A2155C" w:rsidRPr="00A2155C" w:rsidRDefault="00EE139F" w:rsidP="00EE139F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EE139F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Default="00BE68B8" w:rsidP="00C02479">
      <w:pPr>
        <w:spacing w:line="240" w:lineRule="auto"/>
        <w:rPr>
          <w:sz w:val="22"/>
          <w:szCs w:val="22"/>
        </w:rPr>
      </w:pPr>
    </w:p>
    <w:p w:rsidR="00C8625C" w:rsidRPr="00F555D7" w:rsidRDefault="00C8625C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9F" w:rsidRDefault="0099719F" w:rsidP="00355095">
      <w:pPr>
        <w:spacing w:line="240" w:lineRule="auto"/>
      </w:pPr>
      <w:r>
        <w:separator/>
      </w:r>
    </w:p>
  </w:endnote>
  <w:endnote w:type="continuationSeparator" w:id="0">
    <w:p w:rsidR="0099719F" w:rsidRDefault="009971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22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22F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9F" w:rsidRDefault="0099719F" w:rsidP="00355095">
      <w:pPr>
        <w:spacing w:line="240" w:lineRule="auto"/>
      </w:pPr>
      <w:r>
        <w:separator/>
      </w:r>
    </w:p>
  </w:footnote>
  <w:footnote w:type="continuationSeparator" w:id="0">
    <w:p w:rsidR="0099719F" w:rsidRDefault="009971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F20E84">
      <w:rPr>
        <w:i/>
        <w:sz w:val="20"/>
      </w:rPr>
      <w:t>15</w:t>
    </w:r>
    <w:r w:rsidR="0029236C">
      <w:rPr>
        <w:i/>
        <w:sz w:val="20"/>
      </w:rPr>
      <w:t>29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6D59DB">
      <w:rPr>
        <w:i/>
        <w:sz w:val="20"/>
      </w:rPr>
      <w:t>2</w:t>
    </w:r>
    <w:r w:rsidR="009023A3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6D88"/>
    <w:rsid w:val="0008004B"/>
    <w:rsid w:val="000911D3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9236C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22F0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53186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807ED5"/>
    <w:rsid w:val="008401E4"/>
    <w:rsid w:val="00856C1A"/>
    <w:rsid w:val="00861C62"/>
    <w:rsid w:val="00875512"/>
    <w:rsid w:val="008759B3"/>
    <w:rsid w:val="008773C8"/>
    <w:rsid w:val="008825B7"/>
    <w:rsid w:val="00886219"/>
    <w:rsid w:val="0088746E"/>
    <w:rsid w:val="00891345"/>
    <w:rsid w:val="008940C6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53FDA"/>
    <w:rsid w:val="00965222"/>
    <w:rsid w:val="00967D5D"/>
    <w:rsid w:val="009852C6"/>
    <w:rsid w:val="0099098B"/>
    <w:rsid w:val="0099719F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2155C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139F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4C3C-8A16-44D6-9780-FDD41E12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94</cp:revision>
  <cp:lastPrinted>2014-04-10T06:09:00Z</cp:lastPrinted>
  <dcterms:created xsi:type="dcterms:W3CDTF">2013-03-05T03:51:00Z</dcterms:created>
  <dcterms:modified xsi:type="dcterms:W3CDTF">2014-04-10T06:13:00Z</dcterms:modified>
</cp:coreProperties>
</file>