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48277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48277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A60FB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0FB7">
              <w:rPr>
                <w:sz w:val="24"/>
                <w:szCs w:val="24"/>
              </w:rPr>
              <w:t>135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A60FB7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</w:t>
            </w:r>
            <w:bookmarkStart w:id="2" w:name="_GoBack"/>
            <w:bookmarkEnd w:id="2"/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E7E04" w:rsidRPr="00902B57" w:rsidRDefault="00D805C4" w:rsidP="006E7E0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6E7E04">
        <w:rPr>
          <w:b/>
          <w:sz w:val="24"/>
          <w:szCs w:val="24"/>
        </w:rPr>
        <w:t>«</w:t>
      </w:r>
      <w:r w:rsidR="006E7E04" w:rsidRPr="00C70A32">
        <w:rPr>
          <w:b/>
          <w:bCs/>
          <w:i/>
          <w:sz w:val="24"/>
          <w:szCs w:val="24"/>
        </w:rPr>
        <w:t>Кабельная арматура»</w:t>
      </w:r>
      <w:r w:rsidR="006E7E04" w:rsidRPr="00C70A32">
        <w:rPr>
          <w:b/>
          <w:bCs/>
          <w:sz w:val="24"/>
          <w:szCs w:val="24"/>
        </w:rPr>
        <w:t xml:space="preserve"> </w:t>
      </w:r>
      <w:r w:rsidR="006E7E04" w:rsidRPr="00C70A32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="006E7E04">
        <w:rPr>
          <w:bCs/>
          <w:sz w:val="24"/>
          <w:szCs w:val="24"/>
        </w:rPr>
        <w:t>»</w:t>
      </w:r>
    </w:p>
    <w:p w:rsidR="006E7E04" w:rsidRPr="00ED39C9" w:rsidRDefault="006E7E04" w:rsidP="006E7E0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2013г.</w:t>
      </w:r>
      <w:r>
        <w:rPr>
          <w:bCs/>
          <w:iCs/>
          <w:snapToGrid/>
          <w:sz w:val="24"/>
          <w:szCs w:val="24"/>
        </w:rPr>
        <w:t xml:space="preserve"> под производственную программу 2014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1.2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r>
        <w:rPr>
          <w:bCs/>
          <w:iCs/>
          <w:snapToGrid/>
          <w:sz w:val="24"/>
          <w:szCs w:val="24"/>
        </w:rPr>
        <w:t>для энергоремонта</w:t>
      </w:r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27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15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ED39C9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164</w:t>
      </w:r>
      <w:r w:rsidRPr="00ED39C9">
        <w:rPr>
          <w:bCs/>
          <w:iCs/>
          <w:snapToGrid/>
          <w:sz w:val="24"/>
          <w:szCs w:val="24"/>
        </w:rPr>
        <w:t>.</w:t>
      </w:r>
    </w:p>
    <w:p w:rsidR="006E7E04" w:rsidRPr="006C0C2D" w:rsidRDefault="006E7E04" w:rsidP="006E7E0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F31B76">
        <w:rPr>
          <w:b/>
          <w:i/>
          <w:sz w:val="24"/>
        </w:rPr>
        <w:t>1 504 319</w:t>
      </w:r>
      <w:r>
        <w:rPr>
          <w:b/>
          <w:i/>
          <w:sz w:val="24"/>
        </w:rPr>
        <w:t>,00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E7E04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EA7FC3" w:rsidRPr="00FA4679" w:rsidRDefault="00EA7FC3" w:rsidP="00EA7FC3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>О признании предложений соответствующими условиям закупки</w:t>
      </w:r>
    </w:p>
    <w:p w:rsidR="006E7E04" w:rsidRPr="006E7E04" w:rsidRDefault="006E7E04" w:rsidP="006E7E04">
      <w:pPr>
        <w:pStyle w:val="a9"/>
        <w:numPr>
          <w:ilvl w:val="0"/>
          <w:numId w:val="22"/>
        </w:numPr>
        <w:rPr>
          <w:bCs/>
          <w:i/>
          <w:iCs/>
          <w:sz w:val="24"/>
          <w:szCs w:val="24"/>
        </w:rPr>
      </w:pPr>
      <w:r w:rsidRPr="006E7E04">
        <w:rPr>
          <w:bCs/>
          <w:i/>
          <w:iCs/>
          <w:sz w:val="24"/>
          <w:szCs w:val="24"/>
        </w:rPr>
        <w:t>О признании предложений несоответствующими условиям закупки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предварительной ранжировке предложений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6F3FDC" w:rsidRPr="00FA4679" w:rsidRDefault="006F3FDC" w:rsidP="006F3FDC">
      <w:pPr>
        <w:pStyle w:val="21"/>
        <w:ind w:left="927" w:firstLine="0"/>
        <w:rPr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sz w:val="24"/>
        </w:rPr>
      </w:pPr>
    </w:p>
    <w:p w:rsidR="006F3FDC" w:rsidRPr="00FA4679" w:rsidRDefault="006F3FDC" w:rsidP="006F3FDC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E7E04" w:rsidRDefault="006E7E04" w:rsidP="006E7E0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19.02.2014. № 135/МР-В</w:t>
      </w:r>
    </w:p>
    <w:p w:rsidR="006E7E04" w:rsidRDefault="006E7E04" w:rsidP="006E7E0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Бичевина А.В.</w:t>
      </w:r>
    </w:p>
    <w:p w:rsidR="006E7E04" w:rsidRDefault="006E7E04" w:rsidP="006E7E0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Моториной О.А.</w:t>
      </w:r>
    </w:p>
    <w:p w:rsidR="006E7E04" w:rsidRDefault="006E7E04" w:rsidP="006E7E0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6F3FDC" w:rsidRPr="00FA4679" w:rsidRDefault="006F3FDC" w:rsidP="006F3FDC">
      <w:pPr>
        <w:pStyle w:val="21"/>
        <w:ind w:left="927" w:firstLine="0"/>
        <w:rPr>
          <w:sz w:val="24"/>
        </w:rPr>
      </w:pPr>
    </w:p>
    <w:p w:rsidR="00C46AA8" w:rsidRPr="00C46AA8" w:rsidRDefault="00C46AA8" w:rsidP="00C46AA8">
      <w:pPr>
        <w:spacing w:line="240" w:lineRule="auto"/>
        <w:ind w:firstLine="0"/>
        <w:rPr>
          <w:snapToGrid/>
          <w:sz w:val="24"/>
          <w:szCs w:val="24"/>
        </w:rPr>
      </w:pPr>
      <w:r w:rsidRPr="00C46AA8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C46AA8" w:rsidRPr="00C46AA8" w:rsidRDefault="00C46AA8" w:rsidP="00C46AA8">
      <w:pPr>
        <w:spacing w:line="240" w:lineRule="auto"/>
        <w:rPr>
          <w:sz w:val="24"/>
          <w:szCs w:val="24"/>
        </w:rPr>
      </w:pPr>
      <w:r w:rsidRPr="00C46AA8">
        <w:rPr>
          <w:sz w:val="24"/>
          <w:szCs w:val="24"/>
        </w:rPr>
        <w:t>ОТМЕТИЛИ:</w:t>
      </w:r>
    </w:p>
    <w:p w:rsidR="00C46AA8" w:rsidRPr="00C46AA8" w:rsidRDefault="00C46AA8" w:rsidP="00C46AA8">
      <w:pPr>
        <w:rPr>
          <w:sz w:val="24"/>
          <w:szCs w:val="24"/>
        </w:rPr>
      </w:pPr>
      <w:r w:rsidRPr="00C46AA8">
        <w:rPr>
          <w:sz w:val="24"/>
          <w:szCs w:val="24"/>
        </w:rPr>
        <w:t xml:space="preserve">Предложения </w:t>
      </w:r>
      <w:r w:rsidRPr="00C46AA8">
        <w:rPr>
          <w:snapToGrid/>
          <w:sz w:val="24"/>
          <w:szCs w:val="24"/>
        </w:rPr>
        <w:t xml:space="preserve">ООО "Техэлектро СЗ" (194021, Россия, г. Санкт - Петербург, ул. Новороссийская, д. 49, лит. "Б"), ООО "ЭТК "Энергокомплекс" (Россия, 614064, г. Пермь, ул.Чкалова 9) </w:t>
      </w:r>
      <w:r w:rsidRPr="00C46AA8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C46AA8" w:rsidRPr="00C46AA8" w:rsidRDefault="00C46AA8" w:rsidP="00C46AA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46AA8">
        <w:rPr>
          <w:bCs/>
          <w:i/>
          <w:iCs/>
          <w:snapToGrid/>
          <w:sz w:val="24"/>
          <w:szCs w:val="24"/>
        </w:rPr>
        <w:t>ВОПРОС 2 « О признании предложений несоответствующими условиям закупки»</w:t>
      </w:r>
    </w:p>
    <w:p w:rsidR="00C46AA8" w:rsidRPr="00C46AA8" w:rsidRDefault="00C46AA8" w:rsidP="00C46AA8">
      <w:pPr>
        <w:spacing w:line="240" w:lineRule="auto"/>
        <w:rPr>
          <w:sz w:val="24"/>
          <w:szCs w:val="24"/>
        </w:rPr>
      </w:pPr>
      <w:r w:rsidRPr="00C46AA8">
        <w:rPr>
          <w:sz w:val="24"/>
          <w:szCs w:val="24"/>
        </w:rPr>
        <w:t>ОТМЕТИЛИ:</w:t>
      </w:r>
    </w:p>
    <w:p w:rsidR="0059609B" w:rsidRDefault="00C46AA8" w:rsidP="0059609B">
      <w:pPr>
        <w:suppressAutoHyphens/>
        <w:spacing w:line="240" w:lineRule="auto"/>
        <w:ind w:firstLine="0"/>
        <w:rPr>
          <w:b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 xml:space="preserve">          </w:t>
      </w:r>
      <w:r w:rsidRPr="00C46AA8">
        <w:rPr>
          <w:bCs/>
          <w:iCs/>
          <w:snapToGrid/>
          <w:sz w:val="24"/>
          <w:szCs w:val="24"/>
        </w:rPr>
        <w:t>Участник</w:t>
      </w:r>
      <w:r w:rsidRPr="00C46AA8">
        <w:rPr>
          <w:snapToGrid/>
          <w:sz w:val="24"/>
          <w:szCs w:val="24"/>
        </w:rPr>
        <w:t xml:space="preserve"> ООО "ТД "Энергия-ДВ"</w:t>
      </w:r>
      <w:r w:rsidRPr="00C46AA8">
        <w:rPr>
          <w:b/>
          <w:snapToGrid/>
          <w:sz w:val="24"/>
          <w:szCs w:val="24"/>
        </w:rPr>
        <w:t xml:space="preserve"> </w:t>
      </w:r>
      <w:r w:rsidR="0059609B" w:rsidRPr="0059609B">
        <w:rPr>
          <w:snapToGrid/>
          <w:sz w:val="24"/>
          <w:szCs w:val="24"/>
        </w:rPr>
        <w:t>не предоставил документы, подтверждающие</w:t>
      </w:r>
      <w:r w:rsidR="0059609B">
        <w:rPr>
          <w:b/>
          <w:snapToGrid/>
          <w:sz w:val="24"/>
          <w:szCs w:val="24"/>
        </w:rPr>
        <w:t xml:space="preserve"> </w:t>
      </w:r>
    </w:p>
    <w:p w:rsidR="0059609B" w:rsidRDefault="0059609B" w:rsidP="0059609B">
      <w:pPr>
        <w:suppressAutoHyphens/>
        <w:spacing w:line="240" w:lineRule="auto"/>
        <w:ind w:firstLine="0"/>
        <w:rPr>
          <w:b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>последн</w:t>
      </w:r>
      <w:r>
        <w:rPr>
          <w:snapToGrid/>
          <w:sz w:val="24"/>
          <w:szCs w:val="24"/>
        </w:rPr>
        <w:t>юю</w:t>
      </w:r>
      <w:r w:rsidRPr="00C46AA8">
        <w:rPr>
          <w:snapToGrid/>
          <w:sz w:val="24"/>
          <w:szCs w:val="24"/>
        </w:rPr>
        <w:t xml:space="preserve"> ставк</w:t>
      </w:r>
      <w:r>
        <w:rPr>
          <w:snapToGrid/>
          <w:sz w:val="24"/>
          <w:szCs w:val="24"/>
        </w:rPr>
        <w:t>у</w:t>
      </w:r>
      <w:r w:rsidRPr="00C46AA8">
        <w:rPr>
          <w:snapToGrid/>
          <w:sz w:val="24"/>
          <w:szCs w:val="24"/>
        </w:rPr>
        <w:t xml:space="preserve"> сделанной  на ЭТП 1 333 033,00 руб. без НДС.</w:t>
      </w:r>
    </w:p>
    <w:p w:rsidR="00C46AA8" w:rsidRPr="00C46AA8" w:rsidRDefault="00C46AA8" w:rsidP="00C46AA8">
      <w:pPr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C46AA8">
        <w:rPr>
          <w:bCs/>
          <w:iCs/>
          <w:snapToGrid/>
          <w:sz w:val="24"/>
          <w:szCs w:val="24"/>
        </w:rPr>
        <w:t xml:space="preserve">        Участник</w:t>
      </w:r>
      <w:r w:rsidRPr="00C46AA8">
        <w:rPr>
          <w:snapToGrid/>
          <w:sz w:val="24"/>
          <w:szCs w:val="24"/>
        </w:rPr>
        <w:t xml:space="preserve"> ООО "РосЭнергоХолдинг"</w:t>
      </w:r>
      <w:r w:rsidRPr="00C46AA8">
        <w:rPr>
          <w:b/>
          <w:snapToGrid/>
          <w:sz w:val="24"/>
          <w:szCs w:val="24"/>
        </w:rPr>
        <w:t xml:space="preserve"> </w:t>
      </w:r>
      <w:r w:rsidRPr="00C46AA8">
        <w:rPr>
          <w:snapToGrid/>
          <w:sz w:val="24"/>
          <w:szCs w:val="24"/>
        </w:rPr>
        <w:t>не соответствуют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 Цена предложения: 1 381 998,24 руб. (цена без НДС)</w:t>
      </w:r>
    </w:p>
    <w:p w:rsidR="00C46AA8" w:rsidRPr="00C46AA8" w:rsidRDefault="00C46AA8" w:rsidP="00C46AA8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lastRenderedPageBreak/>
        <w:t xml:space="preserve">        Участник ЗАО "НБЭ" г. Южноуральск в составе документации не предоставил д</w:t>
      </w:r>
      <w:r w:rsidRPr="00C46AA8">
        <w:rPr>
          <w:sz w:val="24"/>
          <w:szCs w:val="24"/>
        </w:rPr>
        <w:t>окументальное подтверждение гарантии предприятия производителя предлагаемого оборудования</w:t>
      </w:r>
      <w:r w:rsidRPr="00C46AA8">
        <w:rPr>
          <w:snapToGrid/>
          <w:sz w:val="24"/>
          <w:szCs w:val="24"/>
        </w:rPr>
        <w:t>, что не соответствует п. 2.6., 2.7, 2.8., 4.1. технического задания.</w:t>
      </w:r>
    </w:p>
    <w:p w:rsidR="00C46AA8" w:rsidRPr="00C46AA8" w:rsidRDefault="00C46AA8" w:rsidP="00C46AA8">
      <w:pPr>
        <w:spacing w:line="240" w:lineRule="auto"/>
        <w:ind w:firstLine="0"/>
        <w:rPr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>Не предоставил технические условия и комплектовочную ведомость на изделие, что не соответствует п. 2.4 технического задания. Цена предложения: 1 349 432,88 руб. (цена без НДС)</w:t>
      </w:r>
    </w:p>
    <w:p w:rsidR="00C46AA8" w:rsidRPr="00C46AA8" w:rsidRDefault="00C46AA8" w:rsidP="00C46AA8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C46AA8">
        <w:rPr>
          <w:bCs/>
          <w:iCs/>
          <w:snapToGrid/>
          <w:sz w:val="24"/>
          <w:szCs w:val="24"/>
        </w:rPr>
        <w:t xml:space="preserve">       Участник </w:t>
      </w:r>
      <w:r w:rsidRPr="00C46AA8">
        <w:rPr>
          <w:snapToGrid/>
          <w:sz w:val="24"/>
          <w:szCs w:val="24"/>
        </w:rPr>
        <w:t>ЗАО "ЭКА+" г. Иркутск в составе документации не предоставил д</w:t>
      </w:r>
      <w:r w:rsidRPr="00C46AA8">
        <w:rPr>
          <w:sz w:val="24"/>
          <w:szCs w:val="24"/>
        </w:rPr>
        <w:t>окументальное подтверждение гарантии предприятия производителя предлагаемого оборудования</w:t>
      </w:r>
      <w:r w:rsidRPr="00C46AA8">
        <w:rPr>
          <w:snapToGrid/>
          <w:sz w:val="24"/>
          <w:szCs w:val="24"/>
        </w:rPr>
        <w:t xml:space="preserve">, что не соответствует п. 2.6., 2.7, 2.8., 4.1. технического задания. Кроме того, не предоставил технические условия и комплектовочную ведомость на изделие, что не соответствует п. 2.4 технического задания. </w:t>
      </w:r>
      <w:r w:rsidRPr="00C46AA8">
        <w:rPr>
          <w:snapToGrid/>
          <w:sz w:val="24"/>
          <w:szCs w:val="24"/>
          <w:lang w:eastAsia="en-US"/>
        </w:rPr>
        <w:t>Нет  подт</w:t>
      </w:r>
      <w:r w:rsidR="00535E1C">
        <w:rPr>
          <w:snapToGrid/>
          <w:sz w:val="24"/>
          <w:szCs w:val="24"/>
          <w:lang w:eastAsia="en-US"/>
        </w:rPr>
        <w:t xml:space="preserve">верждающих документов, что он </w:t>
      </w:r>
      <w:r w:rsidRPr="00C46AA8">
        <w:rPr>
          <w:snapToGrid/>
          <w:sz w:val="24"/>
          <w:szCs w:val="24"/>
          <w:lang w:eastAsia="en-US"/>
        </w:rPr>
        <w:t xml:space="preserve"> </w:t>
      </w:r>
      <w:r w:rsidR="00535E1C">
        <w:rPr>
          <w:snapToGrid/>
          <w:sz w:val="24"/>
          <w:szCs w:val="24"/>
        </w:rPr>
        <w:t xml:space="preserve"> являет</w:t>
      </w:r>
      <w:r w:rsidRPr="00C46AA8">
        <w:rPr>
          <w:snapToGrid/>
          <w:sz w:val="24"/>
          <w:szCs w:val="24"/>
        </w:rPr>
        <w:t>ся производителем продукции, либо его дилером (представителем), либо официальным уполномоченным представителем, что не соответствует п. 4.1. технического задания. Цена предложения: 1 212 900,28 руб. (цена без НДС)</w:t>
      </w:r>
    </w:p>
    <w:p w:rsidR="00C46AA8" w:rsidRPr="00C46AA8" w:rsidRDefault="00C46AA8" w:rsidP="00C46AA8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 xml:space="preserve">        </w:t>
      </w:r>
      <w:r w:rsidRPr="00C46AA8">
        <w:rPr>
          <w:bCs/>
          <w:iCs/>
          <w:snapToGrid/>
          <w:sz w:val="24"/>
          <w:szCs w:val="24"/>
        </w:rPr>
        <w:t>Участник</w:t>
      </w:r>
      <w:r w:rsidRPr="00C46AA8">
        <w:rPr>
          <w:snapToGrid/>
          <w:sz w:val="24"/>
          <w:szCs w:val="24"/>
        </w:rPr>
        <w:t xml:space="preserve">  ООО Управляющая компания "Радиан" г. Иркутск в составе документации не предоставил д</w:t>
      </w:r>
      <w:r w:rsidRPr="00C46AA8">
        <w:rPr>
          <w:sz w:val="24"/>
          <w:szCs w:val="24"/>
        </w:rPr>
        <w:t>окументальное подтверждение гарантии предприятия производителя предлагаемого оборудования</w:t>
      </w:r>
      <w:r w:rsidRPr="00C46AA8">
        <w:rPr>
          <w:snapToGrid/>
          <w:sz w:val="24"/>
          <w:szCs w:val="24"/>
        </w:rPr>
        <w:t>, что не соответствует п. 2.6., 2.7, 2.8., 4.1. технического задания. Цена предложения: 1 350 467,00 руб. (цена без НДС)</w:t>
      </w:r>
    </w:p>
    <w:p w:rsidR="00C46AA8" w:rsidRPr="00C46AA8" w:rsidRDefault="00C46AA8" w:rsidP="00C46AA8">
      <w:pPr>
        <w:suppressAutoHyphens/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 xml:space="preserve">        </w:t>
      </w: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3 «О предварительной ранжировк</w:t>
      </w:r>
      <w:r w:rsidR="00C46AA8">
        <w:rPr>
          <w:b/>
          <w:bCs/>
          <w:i/>
          <w:iCs/>
          <w:sz w:val="24"/>
        </w:rPr>
        <w:t>е</w:t>
      </w:r>
      <w:r w:rsidRPr="00FA4679">
        <w:rPr>
          <w:b/>
          <w:bCs/>
          <w:i/>
          <w:iCs/>
          <w:sz w:val="24"/>
        </w:rPr>
        <w:t xml:space="preserve"> предложений»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C46AA8" w:rsidRPr="00BB3033" w:rsidTr="00605761">
        <w:tc>
          <w:tcPr>
            <w:tcW w:w="1276" w:type="dxa"/>
            <w:shd w:val="clear" w:color="auto" w:fill="auto"/>
          </w:tcPr>
          <w:p w:rsidR="00C46AA8" w:rsidRPr="00BB3033" w:rsidRDefault="00C46AA8" w:rsidP="006057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2268" w:type="dxa"/>
            <w:shd w:val="clear" w:color="auto" w:fill="auto"/>
          </w:tcPr>
          <w:p w:rsidR="00C46AA8" w:rsidRPr="00BB3033" w:rsidRDefault="00C46AA8" w:rsidP="006057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C46AA8" w:rsidRPr="00BB3033" w:rsidRDefault="00C46AA8" w:rsidP="006057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C46AA8" w:rsidRPr="00556B05" w:rsidTr="00605761">
        <w:tc>
          <w:tcPr>
            <w:tcW w:w="1276" w:type="dxa"/>
            <w:shd w:val="clear" w:color="auto" w:fill="auto"/>
          </w:tcPr>
          <w:p w:rsidR="00C46AA8" w:rsidRPr="00851ECF" w:rsidRDefault="00C46AA8" w:rsidP="0060576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46AA8" w:rsidRPr="00956345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743D">
              <w:rPr>
                <w:snapToGrid/>
                <w:sz w:val="24"/>
                <w:szCs w:val="24"/>
              </w:rPr>
              <w:t>ООО "Техэлектро СЗ"</w:t>
            </w:r>
          </w:p>
        </w:tc>
        <w:tc>
          <w:tcPr>
            <w:tcW w:w="5954" w:type="dxa"/>
            <w:shd w:val="clear" w:color="auto" w:fill="auto"/>
          </w:tcPr>
          <w:p w:rsidR="00C46AA8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1 217 060,50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C46AA8" w:rsidRPr="00782D77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(1 436 131,39 рублей с учетом НДС).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15.04.2014г.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 , до 15.05.2014г.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не менее </w:t>
            </w:r>
            <w:r w:rsidR="00296134">
              <w:rPr>
                <w:snapToGrid/>
                <w:sz w:val="24"/>
                <w:szCs w:val="24"/>
              </w:rPr>
              <w:t>12 месяцев с момента ввода в эксплуатацию</w:t>
            </w:r>
            <w:r>
              <w:rPr>
                <w:snapToGrid/>
                <w:sz w:val="24"/>
                <w:szCs w:val="24"/>
              </w:rPr>
              <w:t>. Срок службы: не менее 30 лет с соблюдением всех необходимых технических условий.</w:t>
            </w:r>
          </w:p>
          <w:p w:rsidR="00C46AA8" w:rsidRPr="00556B05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мая 2014г.</w:t>
            </w:r>
          </w:p>
        </w:tc>
      </w:tr>
      <w:tr w:rsidR="00C46AA8" w:rsidRPr="00556B05" w:rsidTr="00605761">
        <w:tc>
          <w:tcPr>
            <w:tcW w:w="1276" w:type="dxa"/>
            <w:shd w:val="clear" w:color="auto" w:fill="auto"/>
          </w:tcPr>
          <w:p w:rsidR="00C46AA8" w:rsidRPr="00851ECF" w:rsidRDefault="00C46AA8" w:rsidP="0060576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46AA8" w:rsidRPr="00956345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93743D">
              <w:rPr>
                <w:snapToGrid/>
                <w:sz w:val="24"/>
                <w:szCs w:val="24"/>
              </w:rPr>
              <w:t>ООО "ЭТК "Энергокомплекс"</w:t>
            </w:r>
          </w:p>
        </w:tc>
        <w:tc>
          <w:tcPr>
            <w:tcW w:w="5954" w:type="dxa"/>
            <w:shd w:val="clear" w:color="auto" w:fill="auto"/>
          </w:tcPr>
          <w:p w:rsidR="00C46AA8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1 384 122,00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(1 633 263,96 рублей с учетом НДС).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в течение 30 календарных дней с момента начала поставки.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каждой партии продукции на склад грузополучателя.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в соответствии с гарантиями производителя.</w:t>
            </w:r>
          </w:p>
          <w:p w:rsidR="00C46AA8" w:rsidRPr="00556B05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20 мая 2014г.</w:t>
            </w:r>
          </w:p>
        </w:tc>
      </w:tr>
    </w:tbl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составил </w:t>
      </w:r>
      <w:r w:rsidR="00C46AA8">
        <w:rPr>
          <w:sz w:val="24"/>
          <w:szCs w:val="24"/>
        </w:rPr>
        <w:t>19,1</w:t>
      </w:r>
      <w:r w:rsidRPr="00FA4679">
        <w:rPr>
          <w:sz w:val="24"/>
          <w:szCs w:val="24"/>
        </w:rPr>
        <w:t>%  Закупочная комиссия полагает не целесообразным проведение переторжки.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5 «О ранжировк</w:t>
      </w:r>
      <w:r w:rsidR="00C46AA8">
        <w:rPr>
          <w:b/>
          <w:bCs/>
          <w:i/>
          <w:iCs/>
          <w:sz w:val="24"/>
        </w:rPr>
        <w:t>е</w:t>
      </w:r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lastRenderedPageBreak/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5670"/>
      </w:tblGrid>
      <w:tr w:rsidR="006F3FDC" w:rsidRPr="00FA4679" w:rsidTr="00C46AA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Место в ранжировке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46AA8" w:rsidRPr="00FA4679" w:rsidTr="00C46AA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A8" w:rsidRPr="00FA4679" w:rsidRDefault="00C46AA8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8" w:rsidRPr="00956345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743D">
              <w:rPr>
                <w:snapToGrid/>
                <w:sz w:val="24"/>
                <w:szCs w:val="24"/>
              </w:rPr>
              <w:t>ООО "Техэлектро СЗ"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8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1 217 060,50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C46AA8" w:rsidRPr="00782D77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(1 436 131,39 рублей с учетом НДС).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15.04.2014г.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 , до 15.05.2014г.</w:t>
            </w:r>
          </w:p>
          <w:p w:rsidR="00C46AA8" w:rsidRDefault="00296134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не менее 12 месяцев с момента ввода в эксплуатацию.</w:t>
            </w:r>
            <w:r w:rsidR="00C46AA8">
              <w:rPr>
                <w:snapToGrid/>
                <w:sz w:val="24"/>
                <w:szCs w:val="24"/>
              </w:rPr>
              <w:t xml:space="preserve"> Срок службы: не менее 30 лет с соблюдением всех необходимых технических условий.</w:t>
            </w:r>
          </w:p>
          <w:p w:rsidR="00C46AA8" w:rsidRPr="00556B05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мая 2014г.</w:t>
            </w:r>
          </w:p>
        </w:tc>
      </w:tr>
      <w:tr w:rsidR="00C46AA8" w:rsidRPr="00FA4679" w:rsidTr="00C46AA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A8" w:rsidRPr="00FA4679" w:rsidRDefault="00C46AA8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8" w:rsidRPr="00956345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93743D">
              <w:rPr>
                <w:snapToGrid/>
                <w:sz w:val="24"/>
                <w:szCs w:val="24"/>
              </w:rPr>
              <w:t>ООО "ЭТК "Энергокомплекс"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8" w:rsidRDefault="00C46AA8" w:rsidP="0060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1 384 122,00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(1 633 263,96 рублей с учетом НДС).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в течение 30 календарных дней с момента начала поставки.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каждой партии продукции на склад грузополучателя.</w:t>
            </w:r>
          </w:p>
          <w:p w:rsidR="00C46AA8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в соответствии с гарантиями производителя.</w:t>
            </w:r>
          </w:p>
          <w:p w:rsidR="00C46AA8" w:rsidRPr="00556B05" w:rsidRDefault="00C46AA8" w:rsidP="00605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20 мая 2014г.</w:t>
            </w:r>
          </w:p>
        </w:tc>
      </w:tr>
    </w:tbl>
    <w:p w:rsidR="006F3FDC" w:rsidRPr="00FA4679" w:rsidRDefault="006F3FDC" w:rsidP="006F3FDC">
      <w:pPr>
        <w:spacing w:line="240" w:lineRule="auto"/>
        <w:ind w:firstLine="0"/>
        <w:rPr>
          <w:sz w:val="24"/>
          <w:szCs w:val="24"/>
        </w:rPr>
      </w:pPr>
    </w:p>
    <w:p w:rsidR="00C46AA8" w:rsidRDefault="006F3FDC" w:rsidP="00C46AA8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="00C46AA8" w:rsidRPr="00C46AA8">
        <w:rPr>
          <w:b/>
          <w:i/>
          <w:snapToGrid/>
          <w:sz w:val="24"/>
          <w:szCs w:val="24"/>
        </w:rPr>
        <w:t>ООО "Техэлектро СЗ"</w:t>
      </w:r>
      <w:r w:rsidR="00C46AA8" w:rsidRPr="0093743D">
        <w:rPr>
          <w:snapToGrid/>
          <w:sz w:val="24"/>
          <w:szCs w:val="24"/>
        </w:rPr>
        <w:t xml:space="preserve"> (194021, Россия, г. Санкт - Петербург, ул. Новороссийская, д. 49, лит. "Б")</w:t>
      </w:r>
      <w:r w:rsidRPr="00FA4679">
        <w:rPr>
          <w:sz w:val="24"/>
          <w:szCs w:val="24"/>
        </w:rPr>
        <w:t>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="00C46AA8">
        <w:rPr>
          <w:b/>
          <w:sz w:val="24"/>
          <w:szCs w:val="24"/>
        </w:rPr>
        <w:t>«</w:t>
      </w:r>
      <w:r w:rsidR="00C46AA8" w:rsidRPr="00C70A32">
        <w:rPr>
          <w:b/>
          <w:bCs/>
          <w:i/>
          <w:sz w:val="24"/>
          <w:szCs w:val="24"/>
        </w:rPr>
        <w:t>Кабельная арматура»</w:t>
      </w:r>
      <w:r w:rsidR="00C46AA8" w:rsidRPr="00C70A32">
        <w:rPr>
          <w:b/>
          <w:bCs/>
          <w:sz w:val="24"/>
          <w:szCs w:val="24"/>
        </w:rPr>
        <w:t xml:space="preserve"> </w:t>
      </w:r>
      <w:r w:rsidR="00C46AA8" w:rsidRPr="00C70A32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="00C46AA8">
        <w:rPr>
          <w:bCs/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</w:t>
      </w:r>
    </w:p>
    <w:p w:rsidR="006F3FDC" w:rsidRPr="00FA4679" w:rsidRDefault="006F3FDC" w:rsidP="00C46AA8">
      <w:pPr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– </w:t>
      </w:r>
      <w:r w:rsidR="00C46AA8">
        <w:rPr>
          <w:sz w:val="24"/>
          <w:szCs w:val="24"/>
        </w:rPr>
        <w:t>1 217 060,50</w:t>
      </w:r>
      <w:r w:rsidR="00C46AA8" w:rsidRPr="00956345">
        <w:rPr>
          <w:sz w:val="24"/>
          <w:szCs w:val="24"/>
        </w:rPr>
        <w:t xml:space="preserve"> руб. (цена без НДС)</w:t>
      </w:r>
      <w:r w:rsidR="00C46AA8">
        <w:rPr>
          <w:sz w:val="24"/>
          <w:szCs w:val="24"/>
        </w:rPr>
        <w:t xml:space="preserve"> (1 436 131,39 рублей с учетом НДС).</w:t>
      </w:r>
      <w:r w:rsidR="00C46AA8">
        <w:rPr>
          <w:snapToGrid/>
          <w:sz w:val="24"/>
          <w:szCs w:val="24"/>
        </w:rPr>
        <w:t xml:space="preserve">Срок поставки: до 15.04.2014г.Условия оплаты: в течение 30 календарных дней с момента получения продукции на склад грузополучателя , до 15.05.2014г. Гарантийный срок: </w:t>
      </w:r>
      <w:r w:rsidR="00296134">
        <w:rPr>
          <w:snapToGrid/>
          <w:sz w:val="24"/>
          <w:szCs w:val="24"/>
        </w:rPr>
        <w:t>Гарантийный срок: не менее 12 месяцев с момента ввода в эксплуатацию.</w:t>
      </w:r>
      <w:r w:rsidR="00C46AA8">
        <w:rPr>
          <w:snapToGrid/>
          <w:sz w:val="24"/>
          <w:szCs w:val="24"/>
        </w:rPr>
        <w:t>. Срок службы: не менее 30 лет с соблюдением всех необходимых технических условий. Предложение действительно до 30 мая 2014г.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C46AA8" w:rsidRPr="00FA4679" w:rsidRDefault="00C46AA8" w:rsidP="00EA7FC3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93743D">
        <w:rPr>
          <w:snapToGrid/>
          <w:sz w:val="24"/>
          <w:szCs w:val="24"/>
        </w:rPr>
        <w:t>ООО "Техэлектро СЗ" (194021, Россия, г. Санкт - Петербург, ул. Новороссийская, д. 49, лит. "Б")</w:t>
      </w:r>
      <w:r>
        <w:rPr>
          <w:snapToGrid/>
          <w:sz w:val="24"/>
          <w:szCs w:val="24"/>
        </w:rPr>
        <w:t xml:space="preserve">, </w:t>
      </w:r>
      <w:r w:rsidRPr="0093743D">
        <w:rPr>
          <w:snapToGrid/>
          <w:sz w:val="24"/>
          <w:szCs w:val="24"/>
        </w:rPr>
        <w:t>ООО "ЭТК "Энергокомплекс" (Россия, 614064, г. Пермь, ул.Чкалова 9)</w:t>
      </w:r>
      <w:r w:rsidRPr="00FA4679">
        <w:rPr>
          <w:sz w:val="24"/>
          <w:szCs w:val="24"/>
        </w:rPr>
        <w:t>соответствующими условиям закупки.</w:t>
      </w:r>
    </w:p>
    <w:p w:rsidR="006F3FDC" w:rsidRPr="00C46AA8" w:rsidRDefault="006F3FDC" w:rsidP="00EA7FC3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46AA8">
        <w:rPr>
          <w:sz w:val="24"/>
          <w:szCs w:val="24"/>
        </w:rPr>
        <w:t xml:space="preserve">Предложения </w:t>
      </w:r>
      <w:r w:rsidR="00C46AA8" w:rsidRPr="00C46AA8">
        <w:rPr>
          <w:snapToGrid/>
          <w:sz w:val="24"/>
          <w:szCs w:val="24"/>
        </w:rPr>
        <w:t>ООО "ТД "Энергия-ДВ"</w:t>
      </w:r>
      <w:r w:rsidR="00C46AA8" w:rsidRPr="00C46AA8">
        <w:rPr>
          <w:b/>
          <w:snapToGrid/>
          <w:sz w:val="24"/>
          <w:szCs w:val="24"/>
        </w:rPr>
        <w:t xml:space="preserve"> , </w:t>
      </w:r>
      <w:r w:rsidR="00C46AA8" w:rsidRPr="00C46AA8">
        <w:rPr>
          <w:snapToGrid/>
          <w:sz w:val="24"/>
          <w:szCs w:val="24"/>
        </w:rPr>
        <w:t xml:space="preserve">ООО "РосЭнергоХолдинг", ЗАО "НБЭ" г. Южноуральск, ЗАО "ЭКА+" г. Иркутск, ООО Управляющая компания "Радиан" г. Иркутск </w:t>
      </w:r>
      <w:r w:rsidRPr="00C46AA8">
        <w:rPr>
          <w:rFonts w:eastAsia="Calibri"/>
          <w:sz w:val="24"/>
          <w:szCs w:val="24"/>
          <w:lang w:eastAsia="en-US"/>
        </w:rPr>
        <w:t>отклонить как не отвечающие условиям открытого запроса предложений.</w:t>
      </w:r>
    </w:p>
    <w:p w:rsidR="006F3FDC" w:rsidRPr="00FA4679" w:rsidRDefault="006F3FDC" w:rsidP="00EA7FC3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предварительную ранжировку предложений Участников </w:t>
      </w:r>
    </w:p>
    <w:p w:rsidR="00EA7FC3" w:rsidRPr="00FC2927" w:rsidRDefault="00EA7FC3" w:rsidP="00EA7FC3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Pr="00FC2927">
        <w:rPr>
          <w:snapToGrid/>
          <w:sz w:val="24"/>
          <w:szCs w:val="24"/>
        </w:rPr>
        <w:t>ООО "Техэлектро СЗ"</w:t>
      </w:r>
      <w:r w:rsidRPr="00FC2927">
        <w:rPr>
          <w:sz w:val="24"/>
          <w:szCs w:val="24"/>
        </w:rPr>
        <w:t>;</w:t>
      </w:r>
    </w:p>
    <w:p w:rsidR="00EA7FC3" w:rsidRPr="00FC2927" w:rsidRDefault="00EA7FC3" w:rsidP="00EA7FC3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C2927">
        <w:rPr>
          <w:snapToGrid/>
          <w:sz w:val="24"/>
          <w:szCs w:val="24"/>
        </w:rPr>
        <w:t>2 место: ООО "ЭТК "Энергокомплекс"</w:t>
      </w:r>
      <w:r w:rsidRPr="00FC2927">
        <w:rPr>
          <w:sz w:val="24"/>
          <w:szCs w:val="24"/>
        </w:rPr>
        <w:t>.</w:t>
      </w:r>
    </w:p>
    <w:p w:rsidR="006F3FDC" w:rsidRPr="00FA4679" w:rsidRDefault="006F3FDC" w:rsidP="00291F99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EA7FC3" w:rsidRPr="00EA7FC3" w:rsidRDefault="006F3FDC" w:rsidP="00EA7FC3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A7FC3">
        <w:rPr>
          <w:sz w:val="24"/>
          <w:szCs w:val="24"/>
        </w:rPr>
        <w:lastRenderedPageBreak/>
        <w:t xml:space="preserve">Признать Победителем </w:t>
      </w:r>
      <w:r w:rsidR="00EA7FC3" w:rsidRPr="00EA7FC3">
        <w:rPr>
          <w:b/>
          <w:i/>
          <w:snapToGrid/>
          <w:sz w:val="24"/>
          <w:szCs w:val="24"/>
        </w:rPr>
        <w:t>ООО "Техэлектро СЗ"</w:t>
      </w:r>
      <w:r w:rsidR="00EA7FC3" w:rsidRPr="00EA7FC3">
        <w:rPr>
          <w:snapToGrid/>
          <w:sz w:val="24"/>
          <w:szCs w:val="24"/>
        </w:rPr>
        <w:t xml:space="preserve"> (194021, Россия, г. Санкт - Петербург, ул. Новороссийская, д. 49, лит. "Б")</w:t>
      </w:r>
      <w:r w:rsidR="00EA7FC3" w:rsidRPr="00EA7FC3">
        <w:rPr>
          <w:sz w:val="24"/>
          <w:szCs w:val="24"/>
        </w:rPr>
        <w:t>, предложение на поставку:</w:t>
      </w:r>
      <w:r w:rsidR="00EA7FC3" w:rsidRPr="00EA7FC3">
        <w:rPr>
          <w:bCs/>
          <w:sz w:val="24"/>
          <w:szCs w:val="24"/>
        </w:rPr>
        <w:t xml:space="preserve"> </w:t>
      </w:r>
      <w:r w:rsidR="00EA7FC3" w:rsidRPr="00EA7FC3">
        <w:rPr>
          <w:b/>
          <w:sz w:val="24"/>
          <w:szCs w:val="24"/>
        </w:rPr>
        <w:t>«</w:t>
      </w:r>
      <w:r w:rsidR="00EA7FC3" w:rsidRPr="00EA7FC3">
        <w:rPr>
          <w:b/>
          <w:bCs/>
          <w:i/>
          <w:sz w:val="24"/>
          <w:szCs w:val="24"/>
        </w:rPr>
        <w:t>Кабельная арматура»</w:t>
      </w:r>
      <w:r w:rsidR="00EA7FC3" w:rsidRPr="00EA7FC3">
        <w:rPr>
          <w:b/>
          <w:bCs/>
          <w:sz w:val="24"/>
          <w:szCs w:val="24"/>
        </w:rPr>
        <w:t xml:space="preserve"> </w:t>
      </w:r>
      <w:r w:rsidR="00EA7FC3" w:rsidRPr="00EA7FC3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EA7FC3" w:rsidRPr="00EA7FC3">
        <w:rPr>
          <w:b/>
          <w:i/>
          <w:sz w:val="24"/>
          <w:szCs w:val="24"/>
        </w:rPr>
        <w:t xml:space="preserve"> </w:t>
      </w:r>
      <w:r w:rsidR="00EA7FC3" w:rsidRPr="00EA7FC3">
        <w:rPr>
          <w:sz w:val="24"/>
          <w:szCs w:val="24"/>
        </w:rPr>
        <w:t xml:space="preserve">на общую сумму </w:t>
      </w:r>
    </w:p>
    <w:p w:rsidR="00EA7FC3" w:rsidRPr="00FA4679" w:rsidRDefault="00EA7FC3" w:rsidP="00EA7FC3">
      <w:pPr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– </w:t>
      </w:r>
      <w:r>
        <w:rPr>
          <w:sz w:val="24"/>
          <w:szCs w:val="24"/>
        </w:rPr>
        <w:t>1 217 060,50</w:t>
      </w:r>
      <w:r w:rsidRPr="00956345">
        <w:rPr>
          <w:sz w:val="24"/>
          <w:szCs w:val="24"/>
        </w:rPr>
        <w:t xml:space="preserve"> руб. (цена без НДС)</w:t>
      </w:r>
      <w:r>
        <w:rPr>
          <w:sz w:val="24"/>
          <w:szCs w:val="24"/>
        </w:rPr>
        <w:t xml:space="preserve"> (1 436 131,39 рублей с учетом НДС).</w:t>
      </w:r>
      <w:r>
        <w:rPr>
          <w:snapToGrid/>
          <w:sz w:val="24"/>
          <w:szCs w:val="24"/>
        </w:rPr>
        <w:t xml:space="preserve">Срок поставки: до 15.04.2014г.Условия оплаты: в течение 30 календарных дней с момента получения продукции на склад грузополучателя , до 15.05.2014г. </w:t>
      </w:r>
      <w:r w:rsidR="00296134">
        <w:rPr>
          <w:snapToGrid/>
          <w:sz w:val="24"/>
          <w:szCs w:val="24"/>
        </w:rPr>
        <w:t>Гарантийный срок: не менее 12 месяцев с момента ввода в эксплуатацию.</w:t>
      </w:r>
      <w:r>
        <w:rPr>
          <w:snapToGrid/>
          <w:sz w:val="24"/>
          <w:szCs w:val="24"/>
        </w:rPr>
        <w:t>. Срок службы: не менее 30 лет с соблюдением всех необходимых технических условий. Предложение действительно до 30 мая 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 xml:space="preserve">Моторина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 xml:space="preserve">Терёшкина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21" w:rsidRDefault="00264421" w:rsidP="00355095">
      <w:pPr>
        <w:spacing w:line="240" w:lineRule="auto"/>
      </w:pPr>
      <w:r>
        <w:separator/>
      </w:r>
    </w:p>
  </w:endnote>
  <w:endnote w:type="continuationSeparator" w:id="0">
    <w:p w:rsidR="00264421" w:rsidRDefault="002644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F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F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21" w:rsidRDefault="00264421" w:rsidP="00355095">
      <w:pPr>
        <w:spacing w:line="240" w:lineRule="auto"/>
      </w:pPr>
      <w:r>
        <w:separator/>
      </w:r>
    </w:p>
  </w:footnote>
  <w:footnote w:type="continuationSeparator" w:id="0">
    <w:p w:rsidR="00264421" w:rsidRDefault="002644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2</w:t>
    </w:r>
    <w:r w:rsidR="00C46AA8">
      <w:rPr>
        <w:b/>
        <w:sz w:val="20"/>
        <w:u w:val="single"/>
      </w:rPr>
      <w:t>7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30410E"/>
    <w:rsid w:val="003069E1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39</cp:revision>
  <cp:lastPrinted>2014-03-11T23:08:00Z</cp:lastPrinted>
  <dcterms:created xsi:type="dcterms:W3CDTF">2013-08-27T06:36:00Z</dcterms:created>
  <dcterms:modified xsi:type="dcterms:W3CDTF">2014-03-11T23:18:00Z</dcterms:modified>
</cp:coreProperties>
</file>