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D160C">
              <w:rPr>
                <w:b/>
                <w:szCs w:val="28"/>
              </w:rPr>
              <w:t xml:space="preserve">  87/УЭ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6075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января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6075F" w:rsidRPr="0096075F" w:rsidRDefault="009F683E" w:rsidP="0096075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6075F">
        <w:rPr>
          <w:b/>
          <w:sz w:val="24"/>
          <w:szCs w:val="24"/>
        </w:rPr>
        <w:t>ПРЕДМЕТ ЗАКУПКИ:</w:t>
      </w:r>
      <w:r w:rsidR="00791CB7" w:rsidRPr="0096075F">
        <w:rPr>
          <w:sz w:val="24"/>
          <w:szCs w:val="24"/>
        </w:rPr>
        <w:t xml:space="preserve"> </w:t>
      </w:r>
      <w:r w:rsidR="002B2787" w:rsidRPr="0096075F">
        <w:rPr>
          <w:sz w:val="24"/>
          <w:szCs w:val="24"/>
        </w:rPr>
        <w:t xml:space="preserve">открытый запрос предложений на </w:t>
      </w:r>
      <w:r w:rsidR="002B2787" w:rsidRPr="0096075F">
        <w:rPr>
          <w:bCs/>
          <w:sz w:val="24"/>
          <w:szCs w:val="24"/>
        </w:rPr>
        <w:t xml:space="preserve">право заключения договора на выполнение работ </w:t>
      </w:r>
      <w:r w:rsidR="0096075F" w:rsidRPr="0096075F">
        <w:rPr>
          <w:b/>
          <w:bCs/>
          <w:i/>
          <w:sz w:val="24"/>
          <w:szCs w:val="24"/>
        </w:rPr>
        <w:t>Проведение экспертного обследования и определение возможности продления срока безопасной эксплуатации грузоподъемных механизмов, применяемых на ОПО филиала "ПЭС"</w:t>
      </w:r>
      <w:r w:rsidR="0096075F" w:rsidRPr="0096075F">
        <w:rPr>
          <w:bCs/>
          <w:sz w:val="24"/>
          <w:szCs w:val="24"/>
        </w:rPr>
        <w:t xml:space="preserve"> (закупка 112 раздела 5.1 ГКПЗ 2013 г.)</w:t>
      </w:r>
      <w:r w:rsidR="0096075F" w:rsidRPr="0096075F">
        <w:rPr>
          <w:color w:val="000000"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96075F" w:rsidRPr="00E07B6C" w:rsidRDefault="00126039" w:rsidP="0096075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96075F">
        <w:rPr>
          <w:b/>
          <w:sz w:val="24"/>
          <w:szCs w:val="24"/>
        </w:rPr>
        <w:t>563 800,0</w:t>
      </w:r>
      <w:r w:rsidR="0096075F" w:rsidRPr="00E07B6C">
        <w:rPr>
          <w:sz w:val="24"/>
          <w:szCs w:val="24"/>
        </w:rPr>
        <w:t xml:space="preserve">  руб. без НДС. Указание о проведении закупки от </w:t>
      </w:r>
      <w:r w:rsidR="0096075F">
        <w:rPr>
          <w:sz w:val="24"/>
          <w:szCs w:val="24"/>
        </w:rPr>
        <w:t>27.11.2013 № 176</w:t>
      </w:r>
      <w:r w:rsidR="0096075F" w:rsidRPr="00E07B6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96075F" w:rsidRDefault="0096075F" w:rsidP="0096075F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96075F" w:rsidRPr="00D41111" w:rsidRDefault="0096075F" w:rsidP="0096075F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96075F" w:rsidRDefault="0096075F" w:rsidP="0096075F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6808CC">
        <w:rPr>
          <w:sz w:val="24"/>
        </w:rPr>
        <w:t>О проведении переторжки.</w:t>
      </w:r>
    </w:p>
    <w:p w:rsidR="0096075F" w:rsidRPr="006808CC" w:rsidRDefault="0096075F" w:rsidP="0096075F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Выбор победителя закупки.</w:t>
      </w:r>
    </w:p>
    <w:p w:rsidR="0096075F" w:rsidRPr="00664D95" w:rsidRDefault="0096075F" w:rsidP="0096075F">
      <w:pPr>
        <w:spacing w:line="240" w:lineRule="auto"/>
        <w:ind w:firstLine="0"/>
        <w:rPr>
          <w:b/>
          <w:sz w:val="24"/>
          <w:szCs w:val="24"/>
        </w:rPr>
      </w:pPr>
    </w:p>
    <w:p w:rsidR="0096075F" w:rsidRDefault="0096075F" w:rsidP="0096075F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6075F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Pr="00D41111" w:rsidRDefault="0096075F" w:rsidP="0096075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6075F" w:rsidRPr="00D41111" w:rsidRDefault="0096075F" w:rsidP="0096075F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Коленко Ю.В. и Емельянова А.А</w:t>
      </w:r>
      <w:r w:rsidRPr="00D41111">
        <w:rPr>
          <w:sz w:val="24"/>
          <w:szCs w:val="24"/>
        </w:rPr>
        <w:t>.</w:t>
      </w:r>
    </w:p>
    <w:p w:rsidR="0096075F" w:rsidRPr="00D41111" w:rsidRDefault="0096075F" w:rsidP="0096075F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Default="0096075F" w:rsidP="0096075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Pr="00D41111" w:rsidRDefault="0096075F" w:rsidP="0096075F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Дальтехэнерго</w:t>
      </w:r>
      <w:proofErr w:type="spellEnd"/>
      <w:r>
        <w:rPr>
          <w:sz w:val="24"/>
          <w:szCs w:val="24"/>
        </w:rPr>
        <w:t xml:space="preserve">» г. Владивосток, ООО «Дальневосточная экспертная компания «Техническая экспертиза» г. Владивосток, ООО «Региональный центр «Вектор» г. Хабаровск, ООО «Региональный Центр Диагностики Инженерных Сооружений» г. Владивосток </w:t>
      </w:r>
      <w:r w:rsidRPr="00D41111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96075F" w:rsidRPr="00D41111" w:rsidRDefault="0096075F" w:rsidP="0096075F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96075F" w:rsidRPr="00D41111" w:rsidRDefault="0096075F" w:rsidP="0096075F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Default="0096075F" w:rsidP="0096075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Pr="00D41111" w:rsidRDefault="0096075F" w:rsidP="0096075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6075F" w:rsidRPr="00D41111" w:rsidRDefault="0096075F" w:rsidP="0096075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Коленко Ю.В. и Емельянова А.А</w:t>
      </w:r>
      <w:r w:rsidRPr="00D41111">
        <w:rPr>
          <w:sz w:val="24"/>
          <w:szCs w:val="24"/>
        </w:rPr>
        <w:t>.</w:t>
      </w:r>
    </w:p>
    <w:p w:rsidR="0096075F" w:rsidRPr="00D41111" w:rsidRDefault="0096075F" w:rsidP="0096075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6075F" w:rsidRPr="00D41111" w:rsidRDefault="0096075F" w:rsidP="0096075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96075F" w:rsidRPr="00D41111" w:rsidRDefault="0096075F" w:rsidP="0096075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96075F" w:rsidRPr="00F032FE" w:rsidRDefault="0096075F" w:rsidP="0096075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</w:t>
      </w:r>
      <w:r w:rsidRPr="00F032FE">
        <w:rPr>
          <w:sz w:val="24"/>
          <w:szCs w:val="24"/>
        </w:rPr>
        <w:t>Закупочной документацией, предлагается предварительно ранжировать предложения следующим образом:</w:t>
      </w:r>
    </w:p>
    <w:p w:rsidR="0096075F" w:rsidRPr="001352B3" w:rsidRDefault="0096075F" w:rsidP="0096075F">
      <w:pPr>
        <w:tabs>
          <w:tab w:val="left" w:pos="900"/>
        </w:tabs>
        <w:spacing w:line="240" w:lineRule="auto"/>
        <w:ind w:firstLine="540"/>
        <w:rPr>
          <w:sz w:val="24"/>
          <w:szCs w:val="24"/>
        </w:rPr>
      </w:pPr>
      <w:r w:rsidRPr="00F032FE">
        <w:rPr>
          <w:b/>
          <w:bCs/>
          <w:i/>
          <w:sz w:val="24"/>
          <w:szCs w:val="24"/>
        </w:rPr>
        <w:t xml:space="preserve">1 место: </w:t>
      </w:r>
      <w:r w:rsidRPr="00F032FE">
        <w:rPr>
          <w:b/>
          <w:i/>
          <w:sz w:val="24"/>
          <w:szCs w:val="24"/>
        </w:rPr>
        <w:t>ООО «Региональный центр «Вектор» г. Хабаровск</w:t>
      </w:r>
      <w:r w:rsidRPr="00F032FE">
        <w:rPr>
          <w:sz w:val="24"/>
          <w:szCs w:val="24"/>
        </w:rPr>
        <w:t xml:space="preserve"> с ценой </w:t>
      </w:r>
      <w:r w:rsidRPr="00F032FE">
        <w:rPr>
          <w:b/>
          <w:sz w:val="24"/>
          <w:szCs w:val="24"/>
        </w:rPr>
        <w:t>347 457,63</w:t>
      </w:r>
      <w:r w:rsidRPr="00F032FE">
        <w:rPr>
          <w:sz w:val="24"/>
          <w:szCs w:val="24"/>
        </w:rPr>
        <w:t xml:space="preserve"> руб. без НДС (410 000,0 руб. с НДС). </w:t>
      </w:r>
      <w:r w:rsidRPr="00F032FE">
        <w:rPr>
          <w:b/>
          <w:sz w:val="24"/>
          <w:szCs w:val="24"/>
        </w:rPr>
        <w:t xml:space="preserve"> </w:t>
      </w:r>
      <w:r w:rsidRPr="00F032FE">
        <w:rPr>
          <w:sz w:val="24"/>
          <w:szCs w:val="24"/>
        </w:rPr>
        <w:t>В цену включены все налоги и обязательные платежи, все скидки. Срок выполнения: январь – март 2014 г.  Условия оплаты: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</w:t>
      </w:r>
      <w:r>
        <w:rPr>
          <w:sz w:val="24"/>
          <w:szCs w:val="24"/>
        </w:rPr>
        <w:t xml:space="preserve">исания актов выполненных работ. </w:t>
      </w:r>
      <w:r w:rsidRPr="00F032FE">
        <w:rPr>
          <w:sz w:val="24"/>
          <w:szCs w:val="24"/>
        </w:rPr>
        <w:t>Гарантия на своевременное и качественное  выполнение работ, а также на устранение дефектов, возникших по</w:t>
      </w:r>
      <w:r>
        <w:rPr>
          <w:sz w:val="24"/>
          <w:szCs w:val="24"/>
        </w:rPr>
        <w:t xml:space="preserve"> нашей вине, составляет 24 месяца со дня подписания акта сдачи-приемки. 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05.12.2015</w:t>
      </w:r>
      <w:r w:rsidRPr="00CF27AF">
        <w:rPr>
          <w:sz w:val="24"/>
        </w:rPr>
        <w:t xml:space="preserve"> г.</w:t>
      </w:r>
    </w:p>
    <w:p w:rsidR="0096075F" w:rsidRPr="001352B3" w:rsidRDefault="0096075F" w:rsidP="0096075F">
      <w:pPr>
        <w:tabs>
          <w:tab w:val="left" w:pos="900"/>
        </w:tabs>
        <w:spacing w:line="240" w:lineRule="auto"/>
        <w:ind w:firstLine="540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9052A0">
        <w:rPr>
          <w:b/>
          <w:i/>
          <w:sz w:val="24"/>
          <w:szCs w:val="24"/>
        </w:rPr>
        <w:t>ОАО «</w:t>
      </w:r>
      <w:proofErr w:type="spellStart"/>
      <w:r w:rsidRPr="009052A0">
        <w:rPr>
          <w:b/>
          <w:i/>
          <w:sz w:val="24"/>
          <w:szCs w:val="24"/>
        </w:rPr>
        <w:t>Дальтехэнерго</w:t>
      </w:r>
      <w:proofErr w:type="spellEnd"/>
      <w:r w:rsidRPr="009052A0">
        <w:rPr>
          <w:b/>
          <w:i/>
          <w:sz w:val="24"/>
          <w:szCs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>495 309,0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(584 464,62 руб. с НДС)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F032FE">
        <w:rPr>
          <w:sz w:val="24"/>
          <w:szCs w:val="24"/>
        </w:rPr>
        <w:t>В цену включены все налоги и обязательные платежи, все скидки. Срок выполнения: январь – март 2014 г.  Условия оплаты: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</w:t>
      </w:r>
      <w:r>
        <w:rPr>
          <w:sz w:val="24"/>
          <w:szCs w:val="24"/>
        </w:rPr>
        <w:t xml:space="preserve">исания актов выполненных работ.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10.02.2014</w:t>
      </w:r>
      <w:r w:rsidRPr="00CF27AF">
        <w:rPr>
          <w:sz w:val="24"/>
        </w:rPr>
        <w:t xml:space="preserve"> г.</w:t>
      </w:r>
    </w:p>
    <w:p w:rsidR="0096075F" w:rsidRDefault="0096075F" w:rsidP="0096075F">
      <w:pPr>
        <w:spacing w:before="40" w:after="40" w:line="240" w:lineRule="auto"/>
        <w:ind w:left="57" w:right="57" w:firstLine="510"/>
        <w:rPr>
          <w:sz w:val="24"/>
        </w:rPr>
      </w:pPr>
      <w:r>
        <w:rPr>
          <w:b/>
          <w:bCs/>
          <w:i/>
          <w:sz w:val="24"/>
          <w:szCs w:val="24"/>
        </w:rPr>
        <w:t>3</w:t>
      </w:r>
      <w:r w:rsidRPr="00F032FE">
        <w:rPr>
          <w:b/>
          <w:bCs/>
          <w:i/>
          <w:sz w:val="24"/>
          <w:szCs w:val="24"/>
        </w:rPr>
        <w:t xml:space="preserve"> место: </w:t>
      </w:r>
      <w:r w:rsidRPr="009052A0">
        <w:rPr>
          <w:b/>
          <w:i/>
          <w:sz w:val="24"/>
          <w:szCs w:val="24"/>
        </w:rPr>
        <w:t>ООО «Региональный Центр Диагностики Инженерных Сооружений» г. Владивосток</w:t>
      </w:r>
      <w:r>
        <w:rPr>
          <w:sz w:val="24"/>
          <w:szCs w:val="24"/>
        </w:rPr>
        <w:t xml:space="preserve"> </w:t>
      </w:r>
      <w:r w:rsidRPr="00F032FE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553 761,24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(653 438,26 руб. с НДС)</w:t>
      </w:r>
      <w:r w:rsidRPr="00F032FE">
        <w:rPr>
          <w:sz w:val="24"/>
          <w:szCs w:val="24"/>
        </w:rPr>
        <w:t xml:space="preserve">. </w:t>
      </w:r>
      <w:r w:rsidRPr="00F032FE">
        <w:rPr>
          <w:b/>
          <w:sz w:val="24"/>
          <w:szCs w:val="24"/>
        </w:rPr>
        <w:t xml:space="preserve"> </w:t>
      </w:r>
      <w:r w:rsidRPr="00F032FE">
        <w:rPr>
          <w:sz w:val="24"/>
          <w:szCs w:val="24"/>
        </w:rPr>
        <w:t xml:space="preserve">В цену включены все налоги и обязательные платежи, все скидки. Срок выполнения: январь – </w:t>
      </w:r>
      <w:r>
        <w:rPr>
          <w:sz w:val="24"/>
          <w:szCs w:val="24"/>
        </w:rPr>
        <w:t>февраль</w:t>
      </w:r>
      <w:r w:rsidRPr="00F032FE">
        <w:rPr>
          <w:sz w:val="24"/>
          <w:szCs w:val="24"/>
        </w:rPr>
        <w:t xml:space="preserve"> 2014 г.  Условия оплаты: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</w:t>
      </w:r>
      <w:r>
        <w:rPr>
          <w:sz w:val="24"/>
          <w:szCs w:val="24"/>
        </w:rPr>
        <w:t xml:space="preserve">исания актов выполненных работ. </w:t>
      </w:r>
      <w:r w:rsidRPr="00F032FE">
        <w:rPr>
          <w:sz w:val="24"/>
          <w:szCs w:val="24"/>
        </w:rPr>
        <w:t>Гарантия на своевременное и качественное  выполнение работ, а также на устранение дефектов, возникших по</w:t>
      </w:r>
      <w:r>
        <w:rPr>
          <w:sz w:val="24"/>
          <w:szCs w:val="24"/>
        </w:rPr>
        <w:t xml:space="preserve"> нашей вине, составляет 3 месяца со дня подписания акта сдачи-приемки.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06.03.2014</w:t>
      </w:r>
      <w:r w:rsidRPr="00CF27AF">
        <w:rPr>
          <w:sz w:val="24"/>
        </w:rPr>
        <w:t xml:space="preserve"> г.</w:t>
      </w:r>
    </w:p>
    <w:p w:rsidR="0096075F" w:rsidRPr="001352B3" w:rsidRDefault="0096075F" w:rsidP="0096075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F032FE">
        <w:rPr>
          <w:b/>
          <w:bCs/>
          <w:i/>
          <w:sz w:val="24"/>
          <w:szCs w:val="24"/>
        </w:rPr>
        <w:t xml:space="preserve"> место: </w:t>
      </w:r>
      <w:r w:rsidRPr="0096075F">
        <w:rPr>
          <w:b/>
          <w:i/>
          <w:sz w:val="24"/>
          <w:szCs w:val="24"/>
        </w:rPr>
        <w:t>ООО «Дальневосточная экспертная компания «Техническая экспертиза» г. Владивосток</w:t>
      </w:r>
      <w:r w:rsidRPr="00F032FE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560 000,0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F032FE">
        <w:rPr>
          <w:sz w:val="24"/>
          <w:szCs w:val="24"/>
        </w:rPr>
        <w:t xml:space="preserve">. </w:t>
      </w:r>
      <w:r w:rsidRPr="00F032FE">
        <w:rPr>
          <w:b/>
          <w:sz w:val="24"/>
          <w:szCs w:val="24"/>
        </w:rPr>
        <w:t xml:space="preserve"> </w:t>
      </w:r>
      <w:r w:rsidRPr="00F032FE">
        <w:rPr>
          <w:sz w:val="24"/>
          <w:szCs w:val="24"/>
        </w:rPr>
        <w:t xml:space="preserve">В цену включены все налоги и обязательные платежи, все скидки. Срок выполнения: январь – </w:t>
      </w:r>
      <w:r>
        <w:rPr>
          <w:sz w:val="24"/>
          <w:szCs w:val="24"/>
        </w:rPr>
        <w:t>март</w:t>
      </w:r>
      <w:r w:rsidRPr="00F032FE">
        <w:rPr>
          <w:sz w:val="24"/>
          <w:szCs w:val="24"/>
        </w:rPr>
        <w:t xml:space="preserve"> 2014 г.  Условия оплаты: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</w:t>
      </w:r>
      <w:r>
        <w:rPr>
          <w:sz w:val="24"/>
          <w:szCs w:val="24"/>
        </w:rPr>
        <w:t xml:space="preserve">исания актов выполненных работ. </w:t>
      </w:r>
      <w:r w:rsidRPr="00F032FE">
        <w:rPr>
          <w:sz w:val="24"/>
          <w:szCs w:val="24"/>
        </w:rPr>
        <w:t>Гарантия на своевременное и качественное  выполнение работ, а также на устранение дефектов, возникших по</w:t>
      </w:r>
      <w:r>
        <w:rPr>
          <w:sz w:val="24"/>
          <w:szCs w:val="24"/>
        </w:rPr>
        <w:t xml:space="preserve"> нашей вине, составляет 3 месяца со дня подписания акта сдачи-приемки.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06.03.2014</w:t>
      </w:r>
      <w:r w:rsidRPr="00CF27AF">
        <w:rPr>
          <w:sz w:val="24"/>
        </w:rPr>
        <w:t xml:space="preserve"> г.</w:t>
      </w:r>
    </w:p>
    <w:p w:rsidR="0096075F" w:rsidRDefault="0096075F" w:rsidP="0096075F">
      <w:pPr>
        <w:spacing w:line="240" w:lineRule="auto"/>
        <w:rPr>
          <w:b/>
          <w:sz w:val="24"/>
          <w:szCs w:val="24"/>
        </w:rPr>
      </w:pPr>
    </w:p>
    <w:p w:rsidR="0096075F" w:rsidRPr="007F15A0" w:rsidRDefault="0096075F" w:rsidP="0096075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6075F" w:rsidRDefault="0096075F" w:rsidP="0096075F">
      <w:pPr>
        <w:spacing w:line="240" w:lineRule="auto"/>
        <w:rPr>
          <w:sz w:val="24"/>
          <w:szCs w:val="24"/>
        </w:rPr>
      </w:pPr>
    </w:p>
    <w:p w:rsidR="0096075F" w:rsidRPr="00927B9F" w:rsidRDefault="0096075F" w:rsidP="0096075F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ОТМЕТИЛИ:</w:t>
      </w:r>
    </w:p>
    <w:p w:rsidR="0096075F" w:rsidRPr="00FC6DAA" w:rsidRDefault="0096075F" w:rsidP="0096075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38%).</w:t>
      </w:r>
    </w:p>
    <w:p w:rsidR="0096075F" w:rsidRPr="009052A0" w:rsidRDefault="0096075F" w:rsidP="0096075F">
      <w:pPr>
        <w:pStyle w:val="a5"/>
        <w:spacing w:line="240" w:lineRule="auto"/>
        <w:ind w:left="0"/>
        <w:rPr>
          <w:b/>
          <w:sz w:val="24"/>
          <w:szCs w:val="24"/>
          <w:highlight w:val="yellow"/>
        </w:rPr>
      </w:pPr>
    </w:p>
    <w:p w:rsidR="0096075F" w:rsidRPr="006808CC" w:rsidRDefault="0096075F" w:rsidP="0096075F">
      <w:pPr>
        <w:pStyle w:val="a5"/>
        <w:spacing w:line="240" w:lineRule="auto"/>
        <w:ind w:left="0"/>
        <w:rPr>
          <w:sz w:val="24"/>
          <w:szCs w:val="24"/>
        </w:rPr>
      </w:pPr>
      <w:r w:rsidRPr="006808CC">
        <w:rPr>
          <w:b/>
          <w:sz w:val="24"/>
          <w:szCs w:val="24"/>
        </w:rPr>
        <w:t>РЕШИЛИ:</w:t>
      </w:r>
    </w:p>
    <w:p w:rsidR="0096075F" w:rsidRPr="006808CC" w:rsidRDefault="0096075F" w:rsidP="0096075F">
      <w:pPr>
        <w:pStyle w:val="a5"/>
        <w:numPr>
          <w:ilvl w:val="0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6808CC">
        <w:rPr>
          <w:sz w:val="24"/>
          <w:szCs w:val="24"/>
        </w:rPr>
        <w:lastRenderedPageBreak/>
        <w:t xml:space="preserve">Признать предложения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Дальтехэнерго</w:t>
      </w:r>
      <w:proofErr w:type="spellEnd"/>
      <w:r>
        <w:rPr>
          <w:sz w:val="24"/>
          <w:szCs w:val="24"/>
        </w:rPr>
        <w:t xml:space="preserve">» г. Владивосток, ООО «Дальневосточная экспертная компания «Техническая экспертиза» г. Владивосток, ООО «Региональный центр «Вектор» г. Хабаровск, ООО «Региональный Центр Диагностики Инженерных Сооружений» г. Владивосток </w:t>
      </w:r>
      <w:r w:rsidRPr="006808CC">
        <w:rPr>
          <w:sz w:val="24"/>
          <w:szCs w:val="24"/>
        </w:rPr>
        <w:t xml:space="preserve">соответствующими условиям закупки. </w:t>
      </w:r>
      <w:proofErr w:type="gramEnd"/>
    </w:p>
    <w:p w:rsidR="0096075F" w:rsidRDefault="0096075F" w:rsidP="0096075F">
      <w:pPr>
        <w:pStyle w:val="a5"/>
        <w:numPr>
          <w:ilvl w:val="0"/>
          <w:numId w:val="10"/>
        </w:numPr>
        <w:tabs>
          <w:tab w:val="clear" w:pos="928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8760"/>
      </w:tblGrid>
      <w:tr w:rsidR="0096075F" w:rsidTr="0096075F">
        <w:tc>
          <w:tcPr>
            <w:tcW w:w="1101" w:type="dxa"/>
          </w:tcPr>
          <w:p w:rsidR="0096075F" w:rsidRDefault="0096075F" w:rsidP="00C943D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8930" w:type="dxa"/>
          </w:tcPr>
          <w:p w:rsidR="0096075F" w:rsidRDefault="0096075F" w:rsidP="00C943D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«Региональный центр «Вектор» г. Хабаровск </w:t>
            </w:r>
            <w:r w:rsidRPr="00D35956">
              <w:rPr>
                <w:sz w:val="24"/>
                <w:szCs w:val="24"/>
              </w:rPr>
              <w:t xml:space="preserve"> </w:t>
            </w:r>
          </w:p>
        </w:tc>
      </w:tr>
      <w:tr w:rsidR="0096075F" w:rsidTr="0096075F">
        <w:tc>
          <w:tcPr>
            <w:tcW w:w="1101" w:type="dxa"/>
          </w:tcPr>
          <w:p w:rsidR="0096075F" w:rsidRDefault="0096075F" w:rsidP="00C943D8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8930" w:type="dxa"/>
          </w:tcPr>
          <w:p w:rsidR="0096075F" w:rsidRDefault="0096075F" w:rsidP="00C943D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г. Владивосток</w:t>
            </w:r>
          </w:p>
        </w:tc>
      </w:tr>
      <w:tr w:rsidR="0096075F" w:rsidTr="0096075F">
        <w:tc>
          <w:tcPr>
            <w:tcW w:w="1101" w:type="dxa"/>
          </w:tcPr>
          <w:p w:rsidR="0096075F" w:rsidRPr="0074235A" w:rsidRDefault="0096075F" w:rsidP="00C943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8930" w:type="dxa"/>
          </w:tcPr>
          <w:p w:rsidR="0096075F" w:rsidRDefault="0096075F" w:rsidP="00C943D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«Региональный Центр Диагностики Инженерных Сооружений» г. Владивосток</w:t>
            </w:r>
          </w:p>
        </w:tc>
      </w:tr>
      <w:tr w:rsidR="0096075F" w:rsidTr="0096075F">
        <w:tc>
          <w:tcPr>
            <w:tcW w:w="1101" w:type="dxa"/>
          </w:tcPr>
          <w:p w:rsidR="0096075F" w:rsidRPr="0074235A" w:rsidRDefault="0096075F" w:rsidP="00C943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8930" w:type="dxa"/>
          </w:tcPr>
          <w:p w:rsidR="0096075F" w:rsidRDefault="0096075F" w:rsidP="00C943D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«Дальневосточная экспертная компания «Техническая экспертиза» г. Владивосток</w:t>
            </w:r>
          </w:p>
        </w:tc>
      </w:tr>
    </w:tbl>
    <w:p w:rsidR="0096075F" w:rsidRDefault="0096075F" w:rsidP="0096075F">
      <w:pPr>
        <w:pStyle w:val="a5"/>
        <w:numPr>
          <w:ilvl w:val="0"/>
          <w:numId w:val="10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96075F" w:rsidRPr="006808CC" w:rsidRDefault="0096075F" w:rsidP="0096075F">
      <w:pPr>
        <w:pStyle w:val="a5"/>
        <w:numPr>
          <w:ilvl w:val="0"/>
          <w:numId w:val="10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808CC">
        <w:rPr>
          <w:sz w:val="24"/>
          <w:szCs w:val="24"/>
        </w:rPr>
        <w:t xml:space="preserve">Признать Победителем закупки - </w:t>
      </w:r>
      <w:r w:rsidRPr="006808CC">
        <w:rPr>
          <w:b/>
          <w:i/>
          <w:sz w:val="24"/>
          <w:szCs w:val="24"/>
        </w:rPr>
        <w:t>ООО «Региональный центр «Вектор» г. Хабаровск</w:t>
      </w:r>
      <w:r w:rsidRPr="006808CC">
        <w:rPr>
          <w:sz w:val="24"/>
          <w:szCs w:val="24"/>
        </w:rPr>
        <w:t xml:space="preserve"> с ценой </w:t>
      </w:r>
      <w:r w:rsidRPr="006808CC">
        <w:rPr>
          <w:b/>
          <w:sz w:val="24"/>
          <w:szCs w:val="24"/>
        </w:rPr>
        <w:t>347 457,63</w:t>
      </w:r>
      <w:r w:rsidRPr="006808CC">
        <w:rPr>
          <w:sz w:val="24"/>
          <w:szCs w:val="24"/>
        </w:rPr>
        <w:t xml:space="preserve"> руб. без НДС (410 000,0 руб. с НДС). </w:t>
      </w:r>
      <w:r w:rsidRPr="006808CC">
        <w:rPr>
          <w:b/>
          <w:sz w:val="24"/>
          <w:szCs w:val="24"/>
        </w:rPr>
        <w:t xml:space="preserve"> </w:t>
      </w:r>
      <w:r w:rsidRPr="006808CC">
        <w:rPr>
          <w:sz w:val="24"/>
          <w:szCs w:val="24"/>
        </w:rPr>
        <w:t xml:space="preserve">В цену включены все налоги и обязательные платежи, все скидки. Срок выполнения: январь – март 2014 г.  Условия оплаты: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актов выполненных работ. Гарантия на своевременное и качественное 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поставляемое подрядчиком не менее 24 месяцев. </w:t>
      </w:r>
      <w:r w:rsidRPr="006808CC">
        <w:rPr>
          <w:sz w:val="24"/>
        </w:rPr>
        <w:t>Предложение имеет статус оферты и действует до  05.12.2015 г.</w:t>
      </w:r>
    </w:p>
    <w:p w:rsidR="002B2787" w:rsidRPr="00D645C6" w:rsidRDefault="002B2787" w:rsidP="002B2787">
      <w:pPr>
        <w:pStyle w:val="a5"/>
        <w:tabs>
          <w:tab w:val="left" w:pos="0"/>
        </w:tabs>
        <w:spacing w:line="240" w:lineRule="auto"/>
        <w:ind w:left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96075F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580A71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4A" w:rsidRDefault="007F314A" w:rsidP="00E2330B">
      <w:pPr>
        <w:spacing w:line="240" w:lineRule="auto"/>
      </w:pPr>
      <w:r>
        <w:separator/>
      </w:r>
    </w:p>
  </w:endnote>
  <w:endnote w:type="continuationSeparator" w:id="0">
    <w:p w:rsidR="007F314A" w:rsidRDefault="007F31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5F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4A" w:rsidRDefault="007F314A" w:rsidP="00E2330B">
      <w:pPr>
        <w:spacing w:line="240" w:lineRule="auto"/>
      </w:pPr>
      <w:r>
        <w:separator/>
      </w:r>
    </w:p>
  </w:footnote>
  <w:footnote w:type="continuationSeparator" w:id="0">
    <w:p w:rsidR="007F314A" w:rsidRDefault="007F31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87" w:rsidRPr="002B2787" w:rsidRDefault="002B2787" w:rsidP="002B278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96075F">
      <w:rPr>
        <w:i/>
        <w:sz w:val="22"/>
        <w:szCs w:val="22"/>
      </w:rPr>
      <w:t>кол определения победителя  № 87/УЭ-ВП  закупка 112</w:t>
    </w:r>
  </w:p>
  <w:p w:rsidR="002B2787" w:rsidRDefault="002B27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6501"/>
    <w:rsid w:val="001804BB"/>
    <w:rsid w:val="00184CFE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2787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DC8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0A71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14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293"/>
    <w:rsid w:val="00924D2C"/>
    <w:rsid w:val="00926682"/>
    <w:rsid w:val="00934239"/>
    <w:rsid w:val="009425E1"/>
    <w:rsid w:val="00942922"/>
    <w:rsid w:val="00954E23"/>
    <w:rsid w:val="0096075F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241C"/>
    <w:rsid w:val="009C5463"/>
    <w:rsid w:val="009D05AE"/>
    <w:rsid w:val="009D20DD"/>
    <w:rsid w:val="009D2F16"/>
    <w:rsid w:val="009D7A0B"/>
    <w:rsid w:val="009E4F79"/>
    <w:rsid w:val="009F683E"/>
    <w:rsid w:val="009F7ADB"/>
    <w:rsid w:val="00A01692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D160C"/>
    <w:rsid w:val="00BE0D5F"/>
    <w:rsid w:val="00BE197C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0AE3-FFC3-43F0-89A4-11C00B2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2014-01-15T06:29:00Z</cp:lastPrinted>
  <dcterms:created xsi:type="dcterms:W3CDTF">2014-01-15T06:24:00Z</dcterms:created>
  <dcterms:modified xsi:type="dcterms:W3CDTF">2014-01-15T06:56:00Z</dcterms:modified>
</cp:coreProperties>
</file>