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762009">
        <w:rPr>
          <w:b/>
          <w:sz w:val="26"/>
        </w:rPr>
        <w:t>4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762009">
        <w:rPr>
          <w:b/>
          <w:sz w:val="26"/>
        </w:rPr>
        <w:t>1 016 846,0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762009">
        <w:rPr>
          <w:b/>
          <w:sz w:val="26"/>
        </w:rPr>
        <w:t>Чегдомынский</w:t>
      </w:r>
      <w:r w:rsidR="00BA65B5">
        <w:rPr>
          <w:b/>
          <w:sz w:val="26"/>
        </w:rPr>
        <w:t xml:space="preserve"> РЭС</w:t>
      </w:r>
      <w:r>
        <w:rPr>
          <w:b/>
          <w:sz w:val="26"/>
        </w:rPr>
        <w:t xml:space="preserve">, </w:t>
      </w:r>
      <w:r w:rsidR="00BA65B5">
        <w:rPr>
          <w:b/>
          <w:sz w:val="26"/>
        </w:rPr>
        <w:t>Х</w:t>
      </w:r>
      <w:r>
        <w:rPr>
          <w:b/>
          <w:sz w:val="26"/>
        </w:rPr>
        <w:t>ЭС</w:t>
      </w:r>
      <w:r w:rsidR="00BA65B5">
        <w:rPr>
          <w:b/>
          <w:sz w:val="26"/>
        </w:rPr>
        <w:t xml:space="preserve"> СП СЭС</w:t>
      </w:r>
      <w:r>
        <w:rPr>
          <w:b/>
          <w:sz w:val="26"/>
        </w:rPr>
        <w:t>)</w:t>
      </w:r>
    </w:p>
    <w:p w:rsidR="001C4184" w:rsidRDefault="00762009" w:rsidP="001C4184">
      <w:pPr>
        <w:jc w:val="center"/>
        <w:rPr>
          <w:b/>
          <w:sz w:val="26"/>
        </w:rPr>
      </w:pPr>
      <w:r>
        <w:rPr>
          <w:b/>
          <w:sz w:val="26"/>
        </w:rPr>
        <w:t>ИП Дайнеко Л.М.</w:t>
      </w:r>
      <w:r w:rsidR="009A4E81">
        <w:rPr>
          <w:b/>
          <w:sz w:val="26"/>
        </w:rPr>
        <w:t>,</w:t>
      </w:r>
      <w:r w:rsidR="001C4184">
        <w:rPr>
          <w:b/>
          <w:sz w:val="26"/>
        </w:rPr>
        <w:t xml:space="preserve"> </w:t>
      </w:r>
      <w:r w:rsidR="00BA65B5">
        <w:rPr>
          <w:b/>
          <w:sz w:val="26"/>
        </w:rPr>
        <w:t xml:space="preserve">пос. </w:t>
      </w:r>
      <w:r>
        <w:rPr>
          <w:b/>
          <w:sz w:val="26"/>
        </w:rPr>
        <w:t>Чегдомын</w:t>
      </w:r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594AB6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</w:t>
      </w:r>
      <w:r w:rsidRPr="004C0222">
        <w:rPr>
          <w:color w:val="000000"/>
          <w:sz w:val="22"/>
          <w:szCs w:val="22"/>
        </w:rPr>
        <w:lastRenderedPageBreak/>
        <w:t xml:space="preserve">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</w:t>
      </w:r>
      <w:r w:rsidRPr="00105542">
        <w:rPr>
          <w:color w:val="000000"/>
          <w:spacing w:val="2"/>
          <w:sz w:val="22"/>
          <w:szCs w:val="22"/>
        </w:rPr>
        <w:lastRenderedPageBreak/>
        <w:t xml:space="preserve">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lastRenderedPageBreak/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762009" w:rsidRDefault="00762009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bookmarkStart w:id="3" w:name="_GoBack"/>
      <w:bookmarkEnd w:id="3"/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B6" w:rsidRDefault="00594AB6" w:rsidP="00D67EB9">
      <w:r>
        <w:separator/>
      </w:r>
    </w:p>
  </w:endnote>
  <w:endnote w:type="continuationSeparator" w:id="0">
    <w:p w:rsidR="00594AB6" w:rsidRDefault="00594AB6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762009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B6" w:rsidRDefault="00594AB6" w:rsidP="00D67EB9">
      <w:r>
        <w:separator/>
      </w:r>
    </w:p>
  </w:footnote>
  <w:footnote w:type="continuationSeparator" w:id="0">
    <w:p w:rsidR="00594AB6" w:rsidRDefault="00594AB6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24527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2013-11-20T23:08:00Z</cp:lastPrinted>
  <dcterms:created xsi:type="dcterms:W3CDTF">2013-11-20T23:32:00Z</dcterms:created>
  <dcterms:modified xsi:type="dcterms:W3CDTF">2013-11-20T23:32:00Z</dcterms:modified>
</cp:coreProperties>
</file>