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9A4E81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9A4E81">
        <w:rPr>
          <w:b/>
          <w:sz w:val="26"/>
        </w:rPr>
        <w:t>122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9A4E81">
        <w:rPr>
          <w:b/>
          <w:sz w:val="26"/>
        </w:rPr>
        <w:t>495 950,0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9A4E81">
        <w:rPr>
          <w:b/>
          <w:sz w:val="26"/>
        </w:rPr>
        <w:t>Чкаловский МУ</w:t>
      </w:r>
      <w:r>
        <w:rPr>
          <w:b/>
          <w:sz w:val="26"/>
        </w:rPr>
        <w:t xml:space="preserve">, </w:t>
      </w:r>
      <w:r w:rsidR="009A4E81">
        <w:rPr>
          <w:b/>
          <w:sz w:val="26"/>
        </w:rPr>
        <w:t>П</w:t>
      </w:r>
      <w:r>
        <w:rPr>
          <w:b/>
          <w:sz w:val="26"/>
        </w:rPr>
        <w:t>ЭС)</w:t>
      </w:r>
    </w:p>
    <w:p w:rsidR="001C4184" w:rsidRDefault="009A4E81" w:rsidP="001C4184">
      <w:pPr>
        <w:jc w:val="center"/>
        <w:rPr>
          <w:b/>
          <w:sz w:val="26"/>
        </w:rPr>
      </w:pPr>
      <w:r>
        <w:rPr>
          <w:b/>
          <w:sz w:val="26"/>
        </w:rPr>
        <w:t>ИП</w:t>
      </w:r>
      <w:r w:rsidR="001C4184">
        <w:rPr>
          <w:b/>
          <w:sz w:val="26"/>
        </w:rPr>
        <w:t xml:space="preserve"> </w:t>
      </w:r>
      <w:r>
        <w:rPr>
          <w:b/>
          <w:sz w:val="26"/>
        </w:rPr>
        <w:t>Якубовская Н.А.,</w:t>
      </w:r>
      <w:r w:rsidR="001C4184">
        <w:rPr>
          <w:b/>
          <w:sz w:val="26"/>
        </w:rPr>
        <w:t xml:space="preserve">  </w:t>
      </w:r>
      <w:r w:rsidR="00197B23">
        <w:rPr>
          <w:b/>
          <w:sz w:val="26"/>
        </w:rPr>
        <w:t xml:space="preserve">г. </w:t>
      </w:r>
      <w:proofErr w:type="gramStart"/>
      <w:r>
        <w:rPr>
          <w:b/>
          <w:sz w:val="26"/>
        </w:rPr>
        <w:t>Спасск-Дальний</w:t>
      </w:r>
      <w:proofErr w:type="gramEnd"/>
    </w:p>
    <w:p w:rsidR="00DF71D7" w:rsidRDefault="00DF71D7" w:rsidP="001C4184">
      <w:pPr>
        <w:rPr>
          <w:b/>
          <w:sz w:val="26"/>
        </w:rPr>
      </w:pPr>
      <w:r>
        <w:rPr>
          <w:b/>
          <w:sz w:val="26"/>
        </w:rPr>
        <w:t xml:space="preserve">       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0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0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</w:t>
      </w:r>
      <w:r w:rsidR="003254F4" w:rsidRPr="006D3E5C">
        <w:rPr>
          <w:sz w:val="26"/>
          <w:szCs w:val="24"/>
        </w:rPr>
        <w:t>е</w:t>
      </w:r>
      <w:r w:rsidR="003254F4" w:rsidRPr="006D3E5C">
        <w:rPr>
          <w:sz w:val="26"/>
          <w:szCs w:val="24"/>
        </w:rPr>
        <w:t>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proofErr w:type="spellStart"/>
      <w:r w:rsidR="003254F4" w:rsidRPr="00C17DC5">
        <w:rPr>
          <w:b/>
          <w:sz w:val="26"/>
          <w:szCs w:val="24"/>
        </w:rPr>
        <w:t>Горева</w:t>
      </w:r>
      <w:proofErr w:type="spellEnd"/>
      <w:r w:rsidR="003254F4" w:rsidRPr="00C17DC5">
        <w:rPr>
          <w:b/>
          <w:sz w:val="26"/>
          <w:szCs w:val="24"/>
        </w:rPr>
        <w:t xml:space="preserve">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1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1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2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517A36">
        <w:rPr>
          <w:sz w:val="26"/>
        </w:rPr>
        <w:t>0</w:t>
      </w:r>
      <w:bookmarkStart w:id="3" w:name="_GoBack"/>
      <w:bookmarkEnd w:id="3"/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proofErr w:type="spellStart"/>
      <w:r w:rsidRPr="00DC226F">
        <w:rPr>
          <w:sz w:val="20"/>
          <w:szCs w:val="20"/>
        </w:rPr>
        <w:t>Горева</w:t>
      </w:r>
      <w:proofErr w:type="spellEnd"/>
      <w:r w:rsidRPr="00DC226F">
        <w:rPr>
          <w:sz w:val="20"/>
          <w:szCs w:val="20"/>
        </w:rPr>
        <w:t xml:space="preserve">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CC3E37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517A36" w:rsidRPr="0023110A" w:rsidRDefault="00517A36" w:rsidP="00517A3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(ведомость)</w:t>
      </w:r>
    </w:p>
    <w:p w:rsidR="00517A36" w:rsidRDefault="00517A36" w:rsidP="00517A36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517A36" w:rsidRPr="001C5A83" w:rsidRDefault="00517A36" w:rsidP="00517A36">
      <w:pPr>
        <w:ind w:firstLine="540"/>
        <w:rPr>
          <w:iCs/>
          <w:color w:val="000000"/>
          <w:sz w:val="22"/>
          <w:szCs w:val="22"/>
        </w:rPr>
      </w:pPr>
    </w:p>
    <w:p w:rsidR="00517A36" w:rsidRPr="00354E2F" w:rsidRDefault="00517A36" w:rsidP="00517A36">
      <w:pPr>
        <w:ind w:firstLine="540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ны, и</w:t>
      </w:r>
      <w:r w:rsidRPr="00354E2F">
        <w:rPr>
          <w:b/>
          <w:color w:val="000000"/>
          <w:sz w:val="22"/>
          <w:szCs w:val="22"/>
        </w:rPr>
        <w:t xml:space="preserve"> </w:t>
      </w:r>
      <w:proofErr w:type="gramEnd"/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517A36" w:rsidRPr="00354E2F" w:rsidRDefault="00517A36" w:rsidP="00517A36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proofErr w:type="gramStart"/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</w:t>
      </w:r>
      <w:proofErr w:type="gramEnd"/>
      <w:r w:rsidRPr="00354E2F">
        <w:rPr>
          <w:bCs/>
          <w:color w:val="000000"/>
          <w:sz w:val="22"/>
          <w:szCs w:val="22"/>
        </w:rPr>
        <w:t xml:space="preserve">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517A36" w:rsidRDefault="00517A36" w:rsidP="00517A36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517A36" w:rsidRPr="00354E2F" w:rsidRDefault="00517A36" w:rsidP="00517A36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517A36" w:rsidRPr="00354E2F" w:rsidRDefault="00517A36" w:rsidP="00517A36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517A36" w:rsidRDefault="00517A36" w:rsidP="00517A3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517A36" w:rsidRPr="00C8584E" w:rsidRDefault="00517A36" w:rsidP="00517A36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517A36" w:rsidRPr="0025522A" w:rsidRDefault="00517A36" w:rsidP="00517A36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517A36" w:rsidRPr="00354E2F" w:rsidRDefault="00517A36" w:rsidP="00517A36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517A36" w:rsidRDefault="00517A36" w:rsidP="00517A36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 xml:space="preserve"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</w:t>
      </w:r>
      <w:proofErr w:type="gramStart"/>
      <w:r w:rsidRPr="00354E2F">
        <w:rPr>
          <w:color w:val="000000"/>
          <w:sz w:val="22"/>
          <w:szCs w:val="22"/>
        </w:rPr>
        <w:t>с даты поставки</w:t>
      </w:r>
      <w:proofErr w:type="gramEnd"/>
      <w:r w:rsidRPr="00354E2F">
        <w:rPr>
          <w:color w:val="000000"/>
          <w:sz w:val="22"/>
          <w:szCs w:val="22"/>
        </w:rPr>
        <w:t xml:space="preserve">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517A36" w:rsidRPr="009E7AB0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517A36" w:rsidRPr="004C0222" w:rsidRDefault="00517A36" w:rsidP="00517A36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</w:t>
      </w:r>
      <w:proofErr w:type="spellStart"/>
      <w:r w:rsidRPr="004C0222">
        <w:rPr>
          <w:color w:val="000000"/>
          <w:sz w:val="22"/>
          <w:szCs w:val="22"/>
        </w:rPr>
        <w:t>лимитно</w:t>
      </w:r>
      <w:proofErr w:type="spellEnd"/>
      <w:r w:rsidRPr="004C0222">
        <w:rPr>
          <w:color w:val="000000"/>
          <w:sz w:val="22"/>
          <w:szCs w:val="22"/>
        </w:rPr>
        <w:t>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lastRenderedPageBreak/>
        <w:t xml:space="preserve">продукта, лимита отпуска нефтепродуктов (суточного или месячного) и номера АЗС Продавца. Данная информация должна быть заверена печатью и подписью руководителя филиала ОАО «ДРСК» _______________________. 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517A36" w:rsidRPr="004C0222" w:rsidRDefault="00517A36" w:rsidP="00517A36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517A36" w:rsidRPr="00354E2F" w:rsidRDefault="00517A36" w:rsidP="00517A36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517A36" w:rsidRDefault="00517A36" w:rsidP="00517A36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517A36" w:rsidRPr="004C0222" w:rsidRDefault="00517A36" w:rsidP="00517A36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517A36" w:rsidRDefault="00517A36" w:rsidP="00517A36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517A36" w:rsidRPr="002E2EB5" w:rsidRDefault="00517A36" w:rsidP="00517A36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517A36" w:rsidRPr="002E2EB5" w:rsidRDefault="00517A36" w:rsidP="00517A36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>5.2.  Датой оплаты Товара считается дата списания денежных сре</w:t>
      </w:r>
      <w:proofErr w:type="gramStart"/>
      <w:r w:rsidRPr="002E2EB5">
        <w:rPr>
          <w:rFonts w:eastAsia="MS Mincho"/>
          <w:szCs w:val="22"/>
        </w:rPr>
        <w:t xml:space="preserve">дств с </w:t>
      </w:r>
      <w:r>
        <w:rPr>
          <w:rFonts w:eastAsia="MS Mincho"/>
          <w:szCs w:val="22"/>
        </w:rPr>
        <w:t>к</w:t>
      </w:r>
      <w:proofErr w:type="gramEnd"/>
      <w:r>
        <w:rPr>
          <w:rFonts w:eastAsia="MS Mincho"/>
          <w:szCs w:val="22"/>
        </w:rPr>
        <w:t>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517A36" w:rsidRDefault="00517A36" w:rsidP="00517A36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</w:t>
      </w:r>
      <w:proofErr w:type="spellStart"/>
      <w:r w:rsidRPr="002E2EB5">
        <w:rPr>
          <w:szCs w:val="22"/>
        </w:rPr>
        <w:t>дневный</w:t>
      </w:r>
      <w:proofErr w:type="spellEnd"/>
      <w:r w:rsidRPr="002E2EB5">
        <w:rPr>
          <w:szCs w:val="22"/>
        </w:rPr>
        <w:t xml:space="preserve"> срок возвратить. Спорные вопросы подлежат урегулированию в течение 10 дней по требованию заинтересованной стороны. </w:t>
      </w:r>
    </w:p>
    <w:p w:rsidR="00517A36" w:rsidRPr="00FC556C" w:rsidRDefault="00517A36" w:rsidP="00517A36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517A36" w:rsidRPr="00027372" w:rsidRDefault="00517A36" w:rsidP="00517A3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517A36" w:rsidRDefault="00517A36" w:rsidP="00517A36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517A36" w:rsidRDefault="00517A36" w:rsidP="00517A36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>В случае просрочки оплаты Поставщик вправе требовать уплаты пени в разм</w:t>
      </w:r>
      <w:r w:rsidRPr="000C1536">
        <w:rPr>
          <w:color w:val="000000"/>
          <w:spacing w:val="-1"/>
          <w:sz w:val="22"/>
          <w:szCs w:val="22"/>
        </w:rPr>
        <w:t>е</w:t>
      </w:r>
      <w:r w:rsidRPr="000C1536">
        <w:rPr>
          <w:color w:val="000000"/>
          <w:spacing w:val="-1"/>
          <w:sz w:val="22"/>
          <w:szCs w:val="22"/>
        </w:rPr>
        <w:t xml:space="preserve">ре: </w:t>
      </w:r>
    </w:p>
    <w:p w:rsidR="00517A36" w:rsidRPr="00105542" w:rsidRDefault="00517A36" w:rsidP="00517A36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0,05% суммы долга з</w:t>
      </w:r>
      <w:r w:rsidRPr="000C1536">
        <w:rPr>
          <w:color w:val="000000"/>
          <w:spacing w:val="-1"/>
          <w:sz w:val="22"/>
          <w:szCs w:val="22"/>
        </w:rPr>
        <w:t>а</w:t>
      </w:r>
      <w:r w:rsidRPr="000C1536">
        <w:rPr>
          <w:color w:val="000000"/>
          <w:spacing w:val="-1"/>
          <w:sz w:val="22"/>
          <w:szCs w:val="22"/>
        </w:rPr>
        <w:t xml:space="preserve">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517A36" w:rsidRDefault="00517A36" w:rsidP="00517A36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517A36" w:rsidRPr="000C1536" w:rsidRDefault="00517A36" w:rsidP="00517A36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517A36" w:rsidRPr="000C1536" w:rsidRDefault="00517A36" w:rsidP="00517A36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517A36" w:rsidRPr="00C8584E" w:rsidRDefault="00517A36" w:rsidP="00517A36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517A36" w:rsidRPr="002E2EB5" w:rsidRDefault="00517A36" w:rsidP="00517A36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517A36" w:rsidRPr="00105542" w:rsidRDefault="00517A36" w:rsidP="00517A36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lastRenderedPageBreak/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517A36" w:rsidRPr="00105542" w:rsidRDefault="00517A36" w:rsidP="00517A36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517A36" w:rsidRPr="009E7AB0" w:rsidRDefault="00517A36" w:rsidP="00517A36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 xml:space="preserve">8.1. Настоящий </w:t>
      </w:r>
      <w:proofErr w:type="gramStart"/>
      <w:r w:rsidRPr="002E2EB5">
        <w:rPr>
          <w:color w:val="000000"/>
          <w:sz w:val="22"/>
          <w:szCs w:val="22"/>
        </w:rPr>
        <w:t>Договор</w:t>
      </w:r>
      <w:proofErr w:type="gramEnd"/>
      <w:r w:rsidRPr="002E2EB5">
        <w:rPr>
          <w:color w:val="000000"/>
          <w:sz w:val="22"/>
          <w:szCs w:val="22"/>
        </w:rPr>
        <w:t xml:space="preserve">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517A36" w:rsidRPr="002E2EB5" w:rsidRDefault="00517A36" w:rsidP="00517A36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задержки Поставщиком начала поставок более</w:t>
      </w:r>
      <w:proofErr w:type="gramStart"/>
      <w:r w:rsidRPr="002E2EB5">
        <w:rPr>
          <w:color w:val="000000"/>
          <w:sz w:val="22"/>
          <w:szCs w:val="22"/>
        </w:rPr>
        <w:t>,</w:t>
      </w:r>
      <w:proofErr w:type="gramEnd"/>
      <w:r w:rsidRPr="002E2EB5">
        <w:rPr>
          <w:color w:val="000000"/>
          <w:sz w:val="22"/>
          <w:szCs w:val="22"/>
        </w:rPr>
        <w:t xml:space="preserve">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517A36" w:rsidRPr="002E2EB5" w:rsidRDefault="00517A36" w:rsidP="00517A36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517A36" w:rsidRPr="00105542" w:rsidRDefault="00517A36" w:rsidP="00517A36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517A36" w:rsidRPr="00105542" w:rsidRDefault="00517A36" w:rsidP="00517A36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517A36" w:rsidRPr="00105542" w:rsidRDefault="00517A36" w:rsidP="00517A36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517A36" w:rsidRPr="00027372" w:rsidRDefault="00517A36" w:rsidP="00517A36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517A36" w:rsidRPr="00C8584E" w:rsidRDefault="00517A36" w:rsidP="00517A36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517A36" w:rsidRPr="00C8584E" w:rsidRDefault="00517A36" w:rsidP="00517A36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517A36" w:rsidRDefault="00517A36" w:rsidP="00517A36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517A36" w:rsidRPr="00025D5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517A36" w:rsidRDefault="00517A36" w:rsidP="00517A36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517A36" w:rsidRPr="00105542" w:rsidRDefault="00517A36" w:rsidP="00517A36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517A36" w:rsidRPr="00105542" w:rsidRDefault="00517A36" w:rsidP="00517A36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517A36" w:rsidRPr="00105542" w:rsidRDefault="00517A36" w:rsidP="00517A36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lastRenderedPageBreak/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517A36" w:rsidRPr="00A25267" w:rsidRDefault="00517A36" w:rsidP="00517A36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17A36" w:rsidRPr="00A25267" w:rsidRDefault="00517A36" w:rsidP="00517A36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517A36" w:rsidRDefault="00517A36" w:rsidP="00517A36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517A36" w:rsidRPr="00A25267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517A36" w:rsidRDefault="00517A36" w:rsidP="00517A36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517A36" w:rsidTr="000A0CEF">
        <w:tblPrEx>
          <w:tblCellMar>
            <w:top w:w="0" w:type="dxa"/>
            <w:bottom w:w="0" w:type="dxa"/>
          </w:tblCellMar>
        </w:tblPrEx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517A36" w:rsidRDefault="00517A36" w:rsidP="000A0CEF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517A36" w:rsidRDefault="00517A36" w:rsidP="000A0CEF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517A36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517A36" w:rsidRPr="00845E2B" w:rsidRDefault="00517A36" w:rsidP="000A0CEF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517A36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517A36" w:rsidRPr="00845E2B" w:rsidRDefault="00517A36" w:rsidP="000A0CEF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proofErr w:type="gramStart"/>
            <w:r w:rsidRPr="00845E2B">
              <w:rPr>
                <w:color w:val="000000"/>
              </w:rPr>
              <w:t>Р</w:t>
            </w:r>
            <w:proofErr w:type="gramEnd"/>
            <w:r w:rsidRPr="00845E2B">
              <w:rPr>
                <w:color w:val="000000"/>
              </w:rPr>
              <w:t>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517A36" w:rsidRPr="00845E2B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proofErr w:type="gramStart"/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</w:t>
            </w:r>
            <w:proofErr w:type="gramEnd"/>
            <w:r w:rsidRPr="00845E2B">
              <w:rPr>
                <w:color w:val="000000"/>
              </w:rPr>
              <w:t>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517A36" w:rsidRDefault="00517A36" w:rsidP="000A0CEF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517A36" w:rsidTr="000A0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aff0"/>
              <w:ind w:firstLine="0"/>
            </w:pPr>
          </w:p>
          <w:p w:rsidR="00517A36" w:rsidRDefault="00517A36" w:rsidP="000A0CEF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i/>
                <w:iCs/>
                <w:color w:val="000000"/>
              </w:rPr>
            </w:pPr>
          </w:p>
          <w:p w:rsidR="00517A36" w:rsidRDefault="00517A36" w:rsidP="000A0CEF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517A36" w:rsidRDefault="00517A36" w:rsidP="00517A36">
      <w:pPr>
        <w:jc w:val="right"/>
        <w:rPr>
          <w:b/>
          <w:i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517A36" w:rsidRDefault="00517A36" w:rsidP="00517A36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517A36" w:rsidRPr="002E2EB5" w:rsidRDefault="00517A36" w:rsidP="00517A36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517A36" w:rsidRDefault="00517A36" w:rsidP="00517A36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517A36" w:rsidRDefault="00517A36" w:rsidP="00517A36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517A36" w:rsidRDefault="00517A36" w:rsidP="00517A36">
      <w:pPr>
        <w:pStyle w:val="af5"/>
        <w:rPr>
          <w:color w:val="000000"/>
          <w:sz w:val="12"/>
          <w:szCs w:val="22"/>
        </w:rPr>
      </w:pPr>
    </w:p>
    <w:p w:rsidR="00517A36" w:rsidRPr="0023110A" w:rsidRDefault="00517A36" w:rsidP="00517A36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517A36" w:rsidRDefault="00517A36" w:rsidP="00517A36">
      <w:pPr>
        <w:shd w:val="clear" w:color="auto" w:fill="FFFFFF"/>
        <w:rPr>
          <w:bCs/>
          <w:color w:val="000000"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p w:rsidR="00517A36" w:rsidRPr="0023110A" w:rsidRDefault="00517A36" w:rsidP="00517A36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517A36" w:rsidTr="000A0CEF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517A36" w:rsidTr="000A0CEF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7A36" w:rsidRDefault="00517A36" w:rsidP="000A0CEF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A36" w:rsidRDefault="00517A36" w:rsidP="000A0CEF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517A36" w:rsidRDefault="00517A36" w:rsidP="00517A36">
      <w:pPr>
        <w:ind w:firstLine="540"/>
        <w:rPr>
          <w:sz w:val="22"/>
          <w:szCs w:val="22"/>
        </w:rPr>
      </w:pPr>
    </w:p>
    <w:p w:rsidR="00517A36" w:rsidRPr="00294A76" w:rsidRDefault="00517A36" w:rsidP="00517A36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</w:t>
      </w:r>
      <w:proofErr w:type="gramStart"/>
      <w:r w:rsidRPr="00294A76">
        <w:rPr>
          <w:color w:val="000000"/>
          <w:sz w:val="22"/>
          <w:szCs w:val="22"/>
        </w:rPr>
        <w:t xml:space="preserve">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</w:t>
      </w:r>
      <w:proofErr w:type="gramEnd"/>
      <w:r w:rsidRPr="00294A76">
        <w:rPr>
          <w:bCs/>
          <w:color w:val="000000"/>
          <w:sz w:val="22"/>
          <w:szCs w:val="22"/>
        </w:rPr>
        <w:t xml:space="preserve">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517A3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517A36" w:rsidRPr="00294A76" w:rsidRDefault="00517A36" w:rsidP="00517A36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517A36" w:rsidRPr="00294A76" w:rsidRDefault="00517A36" w:rsidP="00517A36">
      <w:pPr>
        <w:rPr>
          <w:sz w:val="22"/>
          <w:szCs w:val="22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p w:rsidR="00517A36" w:rsidRDefault="00517A36" w:rsidP="00517A36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517A36" w:rsidTr="000A0CEF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rPr>
                <w:color w:val="000000"/>
                <w:szCs w:val="26"/>
              </w:rPr>
            </w:pPr>
          </w:p>
          <w:p w:rsidR="00517A36" w:rsidRDefault="00517A36" w:rsidP="000A0CEF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517A36" w:rsidRDefault="00517A36" w:rsidP="000A0CEF">
            <w:pPr>
              <w:rPr>
                <w:b/>
                <w:bCs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</w:p>
          <w:p w:rsidR="00517A36" w:rsidRDefault="00517A36" w:rsidP="000A0CEF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Default="00517A36" w:rsidP="000A0CEF">
            <w:pPr>
              <w:pStyle w:val="afff8"/>
              <w:rPr>
                <w:color w:val="000000"/>
              </w:rPr>
            </w:pPr>
          </w:p>
          <w:p w:rsidR="00517A36" w:rsidRPr="00151DCF" w:rsidRDefault="00517A36" w:rsidP="000A0CEF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t xml:space="preserve">Приложение № 2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7A36" w:rsidRPr="00151DCF" w:rsidRDefault="00517A36" w:rsidP="000A0CEF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Pr="00BD2E25" w:rsidRDefault="00517A36" w:rsidP="000A0CEF"/>
        </w:tc>
      </w:tr>
      <w:tr w:rsidR="00517A36" w:rsidTr="000A0CEF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</w:t>
            </w:r>
            <w:proofErr w:type="gramStart"/>
            <w:r>
              <w:rPr>
                <w:szCs w:val="28"/>
              </w:rPr>
              <w:t>л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7A36" w:rsidRDefault="00517A36" w:rsidP="000A0C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  <w:p w:rsidR="00517A36" w:rsidRDefault="00517A36" w:rsidP="000A0CEF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</w:tr>
      <w:tr w:rsidR="00517A36" w:rsidTr="000A0CEF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A36" w:rsidRDefault="00517A36" w:rsidP="000A0CEF">
            <w:pPr>
              <w:rPr>
                <w:szCs w:val="28"/>
              </w:rPr>
            </w:pPr>
          </w:p>
        </w:tc>
      </w:tr>
    </w:tbl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5"/>
        <w:ind w:left="360"/>
        <w:jc w:val="both"/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Pr="00BD2E25" w:rsidRDefault="00517A36" w:rsidP="00517A36"/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</w:p>
    <w:p w:rsidR="00517A36" w:rsidRDefault="00517A36" w:rsidP="00517A36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517A36" w:rsidRPr="00C05DD2" w:rsidRDefault="00517A36" w:rsidP="00517A36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517A36" w:rsidRDefault="00517A36" w:rsidP="00517A36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517A36" w:rsidRDefault="00517A36" w:rsidP="00517A36">
      <w:pPr>
        <w:pStyle w:val="21"/>
        <w:jc w:val="center"/>
        <w:rPr>
          <w:color w:val="000000"/>
        </w:rPr>
      </w:pPr>
    </w:p>
    <w:p w:rsidR="00517A36" w:rsidRDefault="00517A36" w:rsidP="00517A36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517A36" w:rsidRDefault="00517A36" w:rsidP="00517A36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517A36" w:rsidTr="000A0CEF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  <w:p w:rsidR="00517A36" w:rsidRDefault="00517A36" w:rsidP="000A0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517A36" w:rsidRDefault="00517A36" w:rsidP="000A0CEF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517A36" w:rsidRDefault="00517A36" w:rsidP="000A0CEF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blPrEx>
          <w:tblCellMar>
            <w:top w:w="0" w:type="dxa"/>
            <w:bottom w:w="0" w:type="dxa"/>
          </w:tblCellMar>
        </w:tblPrEx>
        <w:tc>
          <w:tcPr>
            <w:tcW w:w="4320" w:type="dxa"/>
            <w:vAlign w:val="center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  <w:tr w:rsidR="00517A36" w:rsidTr="000A0CEF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517A36" w:rsidRDefault="00517A36" w:rsidP="000A0CEF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517A36" w:rsidRDefault="00517A36" w:rsidP="000A0CEF">
            <w:pPr>
              <w:jc w:val="center"/>
              <w:rPr>
                <w:color w:val="000000"/>
              </w:rPr>
            </w:pPr>
          </w:p>
        </w:tc>
      </w:tr>
    </w:tbl>
    <w:p w:rsidR="00517A36" w:rsidRDefault="00517A36" w:rsidP="00517A36">
      <w:pPr>
        <w:pStyle w:val="af9"/>
        <w:rPr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517A36" w:rsidTr="000A0CEF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517A36" w:rsidRDefault="00517A36" w:rsidP="00517A36">
      <w:pPr>
        <w:rPr>
          <w:b/>
          <w:bCs/>
          <w:color w:val="000000"/>
        </w:rPr>
      </w:pPr>
    </w:p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pPr>
        <w:rPr>
          <w:color w:val="000000"/>
          <w:sz w:val="20"/>
        </w:rPr>
        <w:sectPr w:rsidR="00517A36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517A36" w:rsidRPr="003E6462" w:rsidRDefault="00517A36" w:rsidP="00517A36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517A36" w:rsidRPr="003E6462" w:rsidRDefault="00517A36" w:rsidP="00517A36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517A36" w:rsidRPr="003E6462" w:rsidRDefault="00517A36" w:rsidP="00517A36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517A36" w:rsidRPr="003E6462" w:rsidTr="000A0CEF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517A36" w:rsidRPr="003E6462" w:rsidTr="000A0CEF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517A36" w:rsidRPr="003E6462" w:rsidTr="000A0CEF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517A36" w:rsidRPr="003E6462" w:rsidTr="000A0CEF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517A36" w:rsidRPr="003E6462" w:rsidTr="000A0CEF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right"/>
              <w:rPr>
                <w:b/>
                <w:bCs/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517A36" w:rsidRPr="003E6462" w:rsidTr="000A0CEF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A36" w:rsidRPr="003E6462" w:rsidRDefault="00517A36" w:rsidP="000A0CEF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7A36" w:rsidRPr="003E6462" w:rsidRDefault="00517A36" w:rsidP="000A0CEF">
            <w:pPr>
              <w:jc w:val="center"/>
              <w:rPr>
                <w:sz w:val="20"/>
              </w:rPr>
            </w:pPr>
          </w:p>
        </w:tc>
      </w:tr>
      <w:tr w:rsidR="00517A36" w:rsidRPr="003E6462" w:rsidTr="000A0CEF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36" w:rsidRPr="003E6462" w:rsidRDefault="00517A36" w:rsidP="000A0C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A36" w:rsidRPr="003E6462" w:rsidRDefault="00517A36" w:rsidP="000A0CE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17A36" w:rsidTr="000A0CEF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517A36" w:rsidRDefault="00517A36" w:rsidP="000A0CEF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7A36" w:rsidRDefault="00517A36" w:rsidP="000A0CEF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517A36" w:rsidRDefault="00517A36" w:rsidP="000A0CEF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517A36" w:rsidRDefault="00517A36" w:rsidP="00517A36">
      <w:pPr>
        <w:rPr>
          <w:sz w:val="20"/>
        </w:rPr>
      </w:pPr>
    </w:p>
    <w:p w:rsidR="00517A36" w:rsidRDefault="00517A36" w:rsidP="00517A36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517A36" w:rsidRPr="00126E3C" w:rsidRDefault="00517A36" w:rsidP="00517A36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517A36" w:rsidTr="000A0CEF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517A36" w:rsidTr="000A0CEF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A36" w:rsidRPr="00213DE7" w:rsidRDefault="00517A36" w:rsidP="000A0CEF">
            <w:pPr>
              <w:jc w:val="center"/>
              <w:rPr>
                <w:b/>
                <w:bCs/>
              </w:rPr>
            </w:pPr>
          </w:p>
        </w:tc>
      </w:tr>
      <w:tr w:rsidR="00517A36" w:rsidTr="000A0CEF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A36" w:rsidRPr="00213DE7" w:rsidRDefault="00517A36" w:rsidP="000A0CEF">
            <w:pPr>
              <w:jc w:val="center"/>
            </w:pPr>
            <w:r>
              <w:t>Наименование контрагента</w:t>
            </w:r>
          </w:p>
        </w:tc>
      </w:tr>
      <w:tr w:rsidR="00517A36" w:rsidRPr="00213DE7" w:rsidTr="000A0CE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17A36" w:rsidRPr="00213DE7" w:rsidRDefault="00517A36" w:rsidP="000A0CEF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517A36" w:rsidRPr="00213DE7" w:rsidTr="000A0CEF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517A36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17A36" w:rsidRPr="00213DE7" w:rsidRDefault="00517A36" w:rsidP="000A0CEF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517A36" w:rsidRPr="00213DE7" w:rsidRDefault="00517A36" w:rsidP="000A0CEF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517A36" w:rsidRPr="00213DE7" w:rsidRDefault="00517A36" w:rsidP="000A0CEF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Pr="00213DE7" w:rsidRDefault="00517A36" w:rsidP="000A0CEF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17A36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517A36" w:rsidRDefault="00517A36" w:rsidP="000A0CEF">
            <w:pPr>
              <w:ind w:hanging="24"/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517A36" w:rsidRPr="00213DE7" w:rsidRDefault="00517A36" w:rsidP="000A0CEF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A36" w:rsidRPr="00213DE7" w:rsidRDefault="00517A36" w:rsidP="000A0CEF">
            <w:pPr>
              <w:rPr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2175B9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517A36" w:rsidRPr="009777B5" w:rsidTr="000A0CE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A36" w:rsidRPr="009777B5" w:rsidRDefault="00517A36" w:rsidP="000A0CEF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/>
    <w:p w:rsidR="00517A36" w:rsidRDefault="00517A36" w:rsidP="00517A36">
      <w:r>
        <w:t>ПРОДАВЕЦ:</w:t>
      </w:r>
    </w:p>
    <w:p w:rsidR="00517A36" w:rsidRDefault="00517A36" w:rsidP="00517A36"/>
    <w:p w:rsidR="00517A36" w:rsidRDefault="00517A36" w:rsidP="00517A36"/>
    <w:p w:rsidR="00517A36" w:rsidRDefault="00517A36" w:rsidP="00517A36">
      <w:r>
        <w:t xml:space="preserve">_____________________ </w:t>
      </w:r>
    </w:p>
    <w:p w:rsidR="00517A36" w:rsidRDefault="00517A36" w:rsidP="00517A36">
      <w:pPr>
        <w:rPr>
          <w:sz w:val="20"/>
        </w:rPr>
        <w:sectPr w:rsidR="00517A36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517A36" w:rsidRPr="00862AAC" w:rsidRDefault="00517A36" w:rsidP="00517A36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517A36" w:rsidRPr="00862AAC" w:rsidRDefault="00517A36" w:rsidP="00517A36">
      <w:pPr>
        <w:ind w:firstLine="720"/>
        <w:jc w:val="right"/>
        <w:rPr>
          <w:b/>
          <w:bCs/>
          <w:sz w:val="22"/>
          <w:szCs w:val="22"/>
        </w:rPr>
      </w:pP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517A36" w:rsidRPr="00862AAC" w:rsidRDefault="00517A36" w:rsidP="00517A36">
      <w:pPr>
        <w:ind w:firstLine="720"/>
        <w:jc w:val="center"/>
        <w:rPr>
          <w:b/>
          <w:bCs/>
          <w:sz w:val="22"/>
          <w:szCs w:val="22"/>
        </w:rPr>
      </w:pPr>
    </w:p>
    <w:p w:rsidR="00517A36" w:rsidRPr="00862AAC" w:rsidRDefault="00517A36" w:rsidP="00517A36">
      <w:pPr>
        <w:rPr>
          <w:sz w:val="22"/>
          <w:szCs w:val="22"/>
        </w:rPr>
      </w:pPr>
      <w:proofErr w:type="gramStart"/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  <w:proofErr w:type="gramEnd"/>
    </w:p>
    <w:p w:rsidR="00517A36" w:rsidRPr="00862AAC" w:rsidRDefault="00517A36" w:rsidP="00517A36">
      <w:pPr>
        <w:rPr>
          <w:sz w:val="22"/>
          <w:szCs w:val="22"/>
        </w:rPr>
      </w:pP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</w:t>
      </w:r>
      <w:proofErr w:type="gramStart"/>
      <w:r w:rsidRPr="00862AAC">
        <w:rPr>
          <w:sz w:val="22"/>
          <w:szCs w:val="22"/>
        </w:rPr>
        <w:t>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</w:t>
      </w:r>
      <w:proofErr w:type="gramEnd"/>
      <w:r w:rsidRPr="00862AAC">
        <w:rPr>
          <w:sz w:val="22"/>
          <w:szCs w:val="22"/>
        </w:rPr>
        <w:t xml:space="preserve">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proofErr w:type="gramStart"/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</w:t>
      </w:r>
      <w:proofErr w:type="gramEnd"/>
      <w:r w:rsidRPr="00862AAC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 xml:space="preserve">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 результате нарушения 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 настоящего Гарантийного письма, сверх суммы штрафа.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517A36" w:rsidRPr="00862AAC" w:rsidRDefault="00517A36" w:rsidP="00517A36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17A36" w:rsidRPr="00862AAC" w:rsidTr="000A0CEF">
        <w:trPr>
          <w:trHeight w:val="278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517A36" w:rsidRPr="00862AAC" w:rsidTr="000A0CEF">
        <w:trPr>
          <w:trHeight w:val="1092"/>
        </w:trPr>
        <w:tc>
          <w:tcPr>
            <w:tcW w:w="9923" w:type="dxa"/>
          </w:tcPr>
          <w:p w:rsidR="00517A36" w:rsidRPr="00862AAC" w:rsidRDefault="00517A36" w:rsidP="000A0CE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517A36" w:rsidRPr="00862AAC" w:rsidRDefault="00517A36" w:rsidP="00517A3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</w:t>
            </w:r>
          </w:p>
        </w:tc>
      </w:tr>
    </w:tbl>
    <w:p w:rsidR="009A4E81" w:rsidRDefault="009A4E81" w:rsidP="00DF4D76">
      <w:pPr>
        <w:pStyle w:val="af9"/>
        <w:jc w:val="center"/>
        <w:rPr>
          <w:b/>
          <w:bCs/>
          <w:color w:val="000000"/>
        </w:rPr>
      </w:pPr>
    </w:p>
    <w:sectPr w:rsidR="009A4E81" w:rsidSect="00517A3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E37" w:rsidRDefault="00CC3E37" w:rsidP="00D67EB9">
      <w:r>
        <w:separator/>
      </w:r>
    </w:p>
  </w:endnote>
  <w:endnote w:type="continuationSeparator" w:id="0">
    <w:p w:rsidR="00CC3E37" w:rsidRDefault="00CC3E37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A36" w:rsidRDefault="00517A3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>
      <w:rPr>
        <w:rStyle w:val="afff1"/>
        <w:noProof/>
      </w:rPr>
      <w:t>11</w:t>
    </w:r>
    <w:r>
      <w:rPr>
        <w:rStyle w:val="afff1"/>
      </w:rPr>
      <w:fldChar w:fldCharType="end"/>
    </w:r>
  </w:p>
  <w:p w:rsidR="00517A36" w:rsidRDefault="00517A3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E37" w:rsidRDefault="00CC3E37" w:rsidP="00D67EB9">
      <w:r>
        <w:separator/>
      </w:r>
    </w:p>
  </w:footnote>
  <w:footnote w:type="continuationSeparator" w:id="0">
    <w:p w:rsidR="00CC3E37" w:rsidRDefault="00CC3E37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3667</Words>
  <Characters>20905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24523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3</cp:revision>
  <cp:lastPrinted>2013-11-20T23:08:00Z</cp:lastPrinted>
  <dcterms:created xsi:type="dcterms:W3CDTF">2013-11-20T23:02:00Z</dcterms:created>
  <dcterms:modified xsi:type="dcterms:W3CDTF">2013-11-20T23:11:00Z</dcterms:modified>
</cp:coreProperties>
</file>