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BB3272" w:rsidRPr="00425A68" w:rsidRDefault="0070176C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425A68">
        <w:rPr>
          <w:b/>
          <w:i/>
          <w:sz w:val="40"/>
          <w:szCs w:val="40"/>
        </w:rPr>
        <w:t>«</w:t>
      </w:r>
      <w:r w:rsidR="00425A68" w:rsidRPr="00425A68">
        <w:rPr>
          <w:b/>
          <w:bCs/>
          <w:i/>
          <w:sz w:val="40"/>
          <w:szCs w:val="40"/>
        </w:rPr>
        <w:t xml:space="preserve">Ремонт силового трансформатора ПС 35/6 </w:t>
      </w:r>
      <w:proofErr w:type="spellStart"/>
      <w:r w:rsidR="00425A68" w:rsidRPr="00425A68">
        <w:rPr>
          <w:b/>
          <w:bCs/>
          <w:i/>
          <w:sz w:val="40"/>
          <w:szCs w:val="40"/>
        </w:rPr>
        <w:t>кВ</w:t>
      </w:r>
      <w:proofErr w:type="spellEnd"/>
      <w:r w:rsidR="00425A68" w:rsidRPr="00425A68">
        <w:rPr>
          <w:b/>
          <w:bCs/>
          <w:i/>
          <w:sz w:val="40"/>
          <w:szCs w:val="40"/>
        </w:rPr>
        <w:t xml:space="preserve"> Экимчан</w:t>
      </w:r>
      <w:r w:rsidRPr="00425A68">
        <w:rPr>
          <w:b/>
          <w:bCs/>
          <w:i/>
          <w:sz w:val="40"/>
          <w:szCs w:val="40"/>
        </w:rPr>
        <w:t>»</w:t>
      </w:r>
    </w:p>
    <w:p w:rsidR="0070176C" w:rsidRPr="00425A68" w:rsidRDefault="0070176C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425A68" w:rsidP="003B6B27">
      <w:pPr>
        <w:spacing w:line="240" w:lineRule="auto"/>
        <w:ind w:firstLine="0"/>
        <w:jc w:val="center"/>
      </w:pPr>
      <w:r>
        <w:t>(закупка 1387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EA5A2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86B2B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 w:rsidRPr="00886B2B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886B2B" w:rsidRPr="00886B2B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 w:rsidRPr="00886B2B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86B2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86B2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86B2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886B2B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886B2B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86B2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A5A21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293B71">
              <w:rPr>
                <w:sz w:val="24"/>
              </w:rPr>
              <w:t>от 30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EA5A21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70176C" w:rsidRPr="00D208A6">
              <w:rPr>
                <w:b/>
                <w:i/>
                <w:sz w:val="26"/>
                <w:szCs w:val="26"/>
              </w:rPr>
              <w:t>«</w:t>
            </w:r>
            <w:r w:rsidR="00425A68" w:rsidRPr="004837C8">
              <w:rPr>
                <w:b/>
                <w:bCs/>
                <w:i/>
                <w:sz w:val="25"/>
                <w:szCs w:val="25"/>
              </w:rPr>
              <w:t xml:space="preserve">Ремонт силового трансформатора ПС 35/6 </w:t>
            </w:r>
            <w:proofErr w:type="spellStart"/>
            <w:r w:rsidR="00425A68" w:rsidRPr="004837C8">
              <w:rPr>
                <w:b/>
                <w:bCs/>
                <w:i/>
                <w:sz w:val="25"/>
                <w:szCs w:val="25"/>
              </w:rPr>
              <w:t>кВ</w:t>
            </w:r>
            <w:proofErr w:type="spellEnd"/>
            <w:r w:rsidR="00425A68" w:rsidRPr="004837C8">
              <w:rPr>
                <w:b/>
                <w:bCs/>
                <w:i/>
                <w:sz w:val="25"/>
                <w:szCs w:val="25"/>
              </w:rPr>
              <w:t xml:space="preserve"> Экимчан</w:t>
            </w:r>
            <w:r w:rsidR="0070176C" w:rsidRPr="00D208A6">
              <w:rPr>
                <w:b/>
                <w:bCs/>
                <w:i/>
                <w:sz w:val="26"/>
                <w:szCs w:val="26"/>
              </w:rPr>
              <w:t>»</w:t>
            </w:r>
            <w:r w:rsidR="0070176C" w:rsidRPr="00D208A6"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0176C" w:rsidRPr="002C6DA8" w:rsidRDefault="008A74D8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70176C">
              <w:rPr>
                <w:sz w:val="26"/>
                <w:szCs w:val="26"/>
              </w:rPr>
              <w:t>начало работ с момента зак</w:t>
            </w:r>
            <w:r w:rsidR="00313D82">
              <w:rPr>
                <w:sz w:val="26"/>
                <w:szCs w:val="26"/>
              </w:rPr>
              <w:t>лючения договора, окончание – 31</w:t>
            </w:r>
            <w:bookmarkStart w:id="269" w:name="_GoBack"/>
            <w:bookmarkEnd w:id="269"/>
            <w:r w:rsidR="0070176C">
              <w:rPr>
                <w:sz w:val="26"/>
                <w:szCs w:val="26"/>
              </w:rPr>
              <w:t>.1</w:t>
            </w:r>
            <w:r w:rsidR="00425A68">
              <w:rPr>
                <w:sz w:val="26"/>
                <w:szCs w:val="26"/>
              </w:rPr>
              <w:t>0</w:t>
            </w:r>
            <w:r w:rsidR="0070176C">
              <w:rPr>
                <w:sz w:val="26"/>
                <w:szCs w:val="26"/>
              </w:rPr>
              <w:t>.</w:t>
            </w:r>
            <w:r w:rsidR="0070176C" w:rsidRPr="002C6DA8">
              <w:rPr>
                <w:sz w:val="26"/>
                <w:szCs w:val="26"/>
              </w:rPr>
              <w:t>2013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886B2B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425A68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940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886B2B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91E76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</w:t>
            </w:r>
            <w:r w:rsidRPr="00C35064">
              <w:rPr>
                <w:color w:val="000000"/>
                <w:sz w:val="24"/>
              </w:rPr>
              <w:lastRenderedPageBreak/>
              <w:t xml:space="preserve">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lastRenderedPageBreak/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</w:t>
            </w:r>
            <w:r w:rsidRPr="00C35064">
              <w:rPr>
                <w:sz w:val="24"/>
                <w:szCs w:val="24"/>
              </w:rPr>
              <w:lastRenderedPageBreak/>
              <w:t xml:space="preserve">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886B2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93B71">
              <w:rPr>
                <w:b/>
                <w:i/>
                <w:color w:val="000000"/>
                <w:sz w:val="24"/>
                <w:szCs w:val="24"/>
              </w:rPr>
              <w:t>30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25A68">
              <w:rPr>
                <w:b/>
                <w:i/>
                <w:color w:val="000000"/>
                <w:sz w:val="24"/>
              </w:rPr>
              <w:t>14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5129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25A68">
              <w:rPr>
                <w:b/>
                <w:i/>
                <w:color w:val="000000"/>
                <w:sz w:val="24"/>
              </w:rPr>
              <w:t>15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 xml:space="preserve">Привлечение </w:t>
            </w:r>
            <w:r w:rsidRPr="0005098A">
              <w:rPr>
                <w:szCs w:val="20"/>
              </w:rPr>
              <w:lastRenderedPageBreak/>
              <w:t>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lastRenderedPageBreak/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886B2B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886B2B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886B2B" w:rsidRPr="00C35064">
        <w:t>Техническое предложение (форма</w:t>
      </w:r>
      <w:r w:rsidR="00886B2B" w:rsidRPr="00C35064">
        <w:rPr>
          <w:noProof/>
        </w:rPr>
        <w:t xml:space="preserve"> </w:t>
      </w:r>
      <w:r w:rsidR="00886B2B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886B2B" w:rsidRPr="00C35064">
        <w:rPr>
          <w:color w:val="000000"/>
        </w:rPr>
        <w:t>График выполнения работ (оказания услуг)</w:t>
      </w:r>
      <w:r w:rsidR="00886B2B" w:rsidRPr="00C35064" w:rsidDel="00691F2A">
        <w:rPr>
          <w:color w:val="000000"/>
        </w:rPr>
        <w:t xml:space="preserve"> </w:t>
      </w:r>
      <w:r w:rsidR="00886B2B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886B2B">
        <w:t>Таблица стоимости работ</w:t>
      </w:r>
      <w:r w:rsidR="00886B2B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886B2B" w:rsidRPr="00C35064">
        <w:rPr>
          <w:color w:val="000000"/>
        </w:rPr>
        <w:t xml:space="preserve">График </w:t>
      </w:r>
      <w:r w:rsidR="00886B2B">
        <w:rPr>
          <w:color w:val="000000"/>
        </w:rPr>
        <w:t xml:space="preserve">оплаты </w:t>
      </w:r>
      <w:r w:rsidR="00886B2B" w:rsidRPr="00C35064">
        <w:rPr>
          <w:color w:val="000000"/>
        </w:rPr>
        <w:t>выполнения работ (оказания услуг)</w:t>
      </w:r>
      <w:r w:rsidR="00886B2B" w:rsidRPr="00C35064" w:rsidDel="0024632F">
        <w:rPr>
          <w:color w:val="000000"/>
        </w:rPr>
        <w:t xml:space="preserve"> </w:t>
      </w:r>
      <w:r w:rsidR="00886B2B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886B2B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886B2B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886B2B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886B2B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86B2B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86B2B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86B2B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86B2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886B2B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886B2B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86B2B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86B2B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886B2B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86B2B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86B2B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886B2B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886B2B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86B2B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86B2B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86B2B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86B2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86B2B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86B2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86B2B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86B2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86B2B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86B2B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2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3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886B2B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21" w:rsidRDefault="00EA5A21">
      <w:r>
        <w:separator/>
      </w:r>
    </w:p>
  </w:endnote>
  <w:endnote w:type="continuationSeparator" w:id="0">
    <w:p w:rsidR="00EA5A21" w:rsidRDefault="00EA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13D82">
      <w:rPr>
        <w:rStyle w:val="ae"/>
        <w:noProof/>
      </w:rPr>
      <w:t>25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13D8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13D82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13D82">
      <w:rPr>
        <w:rStyle w:val="ae"/>
        <w:noProof/>
      </w:rPr>
      <w:t>64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21" w:rsidRDefault="00EA5A21">
      <w:r>
        <w:separator/>
      </w:r>
    </w:p>
  </w:footnote>
  <w:footnote w:type="continuationSeparator" w:id="0">
    <w:p w:rsidR="00EA5A21" w:rsidRDefault="00EA5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Style w:val="aa"/>
      <w:pBdr>
        <w:bottom w:val="none" w:sz="0" w:space="0" w:color="auto"/>
      </w:pBdr>
    </w:pPr>
  </w:p>
  <w:p w:rsidR="00293B71" w:rsidRDefault="00293B7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B71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3D82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764F2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5E52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A68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70E84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56A"/>
    <w:rsid w:val="005E594E"/>
    <w:rsid w:val="005F01B6"/>
    <w:rsid w:val="005F18D8"/>
    <w:rsid w:val="005F1D00"/>
    <w:rsid w:val="005F2248"/>
    <w:rsid w:val="005F6A70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58B6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6B2B"/>
    <w:rsid w:val="008872FF"/>
    <w:rsid w:val="00890C78"/>
    <w:rsid w:val="00892643"/>
    <w:rsid w:val="008945AA"/>
    <w:rsid w:val="008948D2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44632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2510E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6943"/>
    <w:rsid w:val="00BD04E0"/>
    <w:rsid w:val="00BD69CE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85883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5A21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1B2F9-361E-4C85-A31C-C0BE2F57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71</Pages>
  <Words>17902</Words>
  <Characters>102046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119709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5</cp:revision>
  <cp:lastPrinted>2013-07-29T07:13:00Z</cp:lastPrinted>
  <dcterms:created xsi:type="dcterms:W3CDTF">2013-07-29T07:10:00Z</dcterms:created>
  <dcterms:modified xsi:type="dcterms:W3CDTF">2013-07-29T07:34:00Z</dcterms:modified>
</cp:coreProperties>
</file>