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0611C9" w:rsidP="000611C9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0611C9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0611C9">
        <w:rPr>
          <w:b/>
          <w:i/>
        </w:rPr>
        <w:t>С.А.Коржов</w:t>
      </w:r>
    </w:p>
    <w:p w:rsidR="003B6B27" w:rsidRPr="004D436A" w:rsidRDefault="003B6B27" w:rsidP="000611C9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611C9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6D6918" w:rsidRPr="000611C9" w:rsidRDefault="000611C9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0611C9">
        <w:rPr>
          <w:b/>
          <w:bCs/>
          <w:i/>
          <w:sz w:val="40"/>
          <w:szCs w:val="40"/>
        </w:rPr>
        <w:t>Замена провода ВЛ-35 кВ «Западная-Надеждинская»</w:t>
      </w:r>
    </w:p>
    <w:p w:rsidR="000611C9" w:rsidRPr="000611C9" w:rsidRDefault="000611C9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0611C9">
        <w:t>Приморские</w:t>
      </w:r>
      <w:r w:rsidR="00362082">
        <w:t xml:space="preserve"> э</w:t>
      </w:r>
      <w:r>
        <w:t>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0611C9" w:rsidP="003B6B27">
      <w:pPr>
        <w:spacing w:line="240" w:lineRule="auto"/>
        <w:ind w:firstLine="0"/>
        <w:jc w:val="center"/>
      </w:pPr>
      <w:r>
        <w:t>(закупка 141</w:t>
      </w:r>
      <w:r w:rsidR="006D6918">
        <w:t>1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 w:rsidP="00362082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2B123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9A0020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 w:rsidRPr="009A0020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9A0020" w:rsidRPr="009A0020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 w:rsidRPr="009A0020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A002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A002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9A002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9A0020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9A0020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9A002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0611C9" w:rsidRDefault="003B6B27" w:rsidP="000611C9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0611C9">
              <w:rPr>
                <w:b/>
                <w:sz w:val="24"/>
              </w:rPr>
              <w:t>Филиал ОАО «ДРСК» «</w:t>
            </w:r>
            <w:r w:rsidR="000611C9" w:rsidRPr="000611C9">
              <w:rPr>
                <w:b/>
                <w:sz w:val="24"/>
              </w:rPr>
              <w:t>Приморские</w:t>
            </w:r>
            <w:r w:rsidR="00362082" w:rsidRPr="000611C9">
              <w:rPr>
                <w:b/>
                <w:sz w:val="24"/>
              </w:rPr>
              <w:t xml:space="preserve"> э</w:t>
            </w:r>
            <w:r w:rsidRPr="000611C9">
              <w:rPr>
                <w:b/>
                <w:sz w:val="24"/>
              </w:rPr>
              <w:t>лектрические сети»</w:t>
            </w:r>
            <w:r w:rsidRPr="000611C9">
              <w:rPr>
                <w:sz w:val="24"/>
              </w:rPr>
              <w:t xml:space="preserve"> почтовый адрес: </w:t>
            </w:r>
            <w:r w:rsidR="000611C9" w:rsidRPr="000611C9">
              <w:rPr>
                <w:sz w:val="24"/>
              </w:rPr>
              <w:t>690080, Приморский край, г. Владивосток, ул. Командорская, 13-а.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B123E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0611C9">
              <w:rPr>
                <w:sz w:val="24"/>
              </w:rPr>
              <w:t>от 22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B123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0611C9" w:rsidRPr="007C3CD4">
              <w:rPr>
                <w:b/>
                <w:bCs/>
                <w:i/>
                <w:sz w:val="25"/>
                <w:szCs w:val="25"/>
              </w:rPr>
              <w:t>Замена провода ВЛ-35 кВ «Западная-Надеждинская»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0611C9">
              <w:rPr>
                <w:bCs/>
                <w:i/>
                <w:sz w:val="24"/>
                <w:szCs w:val="24"/>
              </w:rPr>
              <w:t>Приморский</w:t>
            </w:r>
            <w:r w:rsidR="00362082">
              <w:rPr>
                <w:bCs/>
                <w:i/>
                <w:sz w:val="24"/>
                <w:szCs w:val="24"/>
              </w:rPr>
              <w:t xml:space="preserve">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6D6918">
              <w:rPr>
                <w:sz w:val="24"/>
              </w:rPr>
              <w:t xml:space="preserve">сентябрь – </w:t>
            </w:r>
            <w:r w:rsidR="000611C9">
              <w:rPr>
                <w:sz w:val="24"/>
              </w:rPr>
              <w:t>дека</w:t>
            </w:r>
            <w:r w:rsidR="006D6918">
              <w:rPr>
                <w:sz w:val="24"/>
              </w:rPr>
              <w:t>брь 2013 г.</w:t>
            </w:r>
          </w:p>
          <w:p w:rsidR="009836C0" w:rsidRPr="009836C0" w:rsidRDefault="006978F0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</w:t>
            </w:r>
            <w:r w:rsidR="006D6918">
              <w:rPr>
                <w:sz w:val="24"/>
              </w:rPr>
              <w:t>ные работы не менее 24 месяцев, на материалы и оборудование, поставляемое Подрядчиком не менее 36 месяцев.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9A0020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9A0020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0611C9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3 982</w:t>
            </w:r>
            <w:r w:rsidR="00362082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работ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9A0020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362082" w:rsidRPr="006B4A60" w:rsidRDefault="0036208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362082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      </w:r>
            <w:r w:rsidRPr="006B4A60">
              <w:rPr>
                <w:b/>
                <w:i/>
                <w:sz w:val="24"/>
                <w:szCs w:val="24"/>
              </w:rPr>
              <w:t>III</w:t>
            </w:r>
            <w:r w:rsidRPr="00362082">
              <w:rPr>
                <w:b/>
                <w:i/>
                <w:sz w:val="24"/>
                <w:szCs w:val="24"/>
              </w:rPr>
              <w:t xml:space="preserve"> </w:t>
            </w:r>
          </w:p>
          <w:p w:rsidR="00362082" w:rsidRPr="006B4A60" w:rsidRDefault="00362082" w:rsidP="006B4A60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Pr="00362082">
              <w:rPr>
                <w:b/>
                <w:i/>
                <w:sz w:val="24"/>
                <w:szCs w:val="24"/>
              </w:rPr>
              <w:t>п. 20.6.</w:t>
            </w:r>
            <w:r w:rsidRPr="006B4A60">
              <w:rPr>
                <w:b/>
                <w:i/>
                <w:sz w:val="24"/>
                <w:szCs w:val="24"/>
              </w:rPr>
              <w:t xml:space="preserve">  </w:t>
            </w:r>
            <w:r w:rsidR="006B4A60" w:rsidRPr="006B4A60">
              <w:rPr>
                <w:b/>
                <w:i/>
                <w:sz w:val="24"/>
                <w:szCs w:val="24"/>
              </w:rPr>
              <w:t>Монтаж и демонтаж опор для воздушных линий электропере</w:t>
            </w:r>
            <w:r w:rsidR="00163941">
              <w:rPr>
                <w:b/>
                <w:i/>
                <w:sz w:val="24"/>
                <w:szCs w:val="24"/>
              </w:rPr>
              <w:t>дачи напряжением до 500</w:t>
            </w:r>
            <w:r w:rsidR="006B4A60" w:rsidRPr="006B4A60">
              <w:rPr>
                <w:b/>
                <w:i/>
                <w:sz w:val="24"/>
                <w:szCs w:val="24"/>
              </w:rPr>
              <w:t xml:space="preserve"> кВ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9A002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63941">
              <w:rPr>
                <w:b/>
                <w:i/>
                <w:color w:val="000000"/>
                <w:sz w:val="24"/>
                <w:szCs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6394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63941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63941">
              <w:rPr>
                <w:b/>
                <w:i/>
                <w:color w:val="000000"/>
                <w:sz w:val="24"/>
              </w:rPr>
              <w:t>08</w:t>
            </w:r>
            <w:r w:rsidR="006B4A60">
              <w:rPr>
                <w:b/>
                <w:i/>
                <w:vanish/>
                <w:color w:val="000000"/>
                <w:sz w:val="24"/>
              </w:rPr>
              <w:t>8</w:t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="006B4A60">
              <w:rPr>
                <w:b/>
                <w:i/>
                <w:vanish/>
                <w:color w:val="000000"/>
                <w:sz w:val="24"/>
              </w:rPr>
              <w:pgNum/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163941">
              <w:rPr>
                <w:b/>
                <w:i/>
                <w:color w:val="000000"/>
                <w:sz w:val="24"/>
              </w:rPr>
              <w:t>0</w:t>
            </w:r>
            <w:r w:rsidR="006D6918">
              <w:rPr>
                <w:b/>
                <w:i/>
                <w:color w:val="000000"/>
                <w:sz w:val="24"/>
              </w:rPr>
              <w:t>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163941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69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63941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63941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D6918">
              <w:rPr>
                <w:b/>
                <w:i/>
                <w:color w:val="000000"/>
                <w:sz w:val="24"/>
              </w:rPr>
              <w:t>0</w:t>
            </w:r>
            <w:r w:rsidR="00163941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691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  <w:bookmarkStart w:id="287" w:name="_GoBack"/>
            <w:bookmarkEnd w:id="287"/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9A0020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9A0020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9A0020" w:rsidRPr="00C35064">
        <w:t>Техническое предложение (форма</w:t>
      </w:r>
      <w:r w:rsidR="009A0020" w:rsidRPr="00C35064">
        <w:rPr>
          <w:noProof/>
        </w:rPr>
        <w:t xml:space="preserve"> </w:t>
      </w:r>
      <w:r w:rsidR="009A0020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9A0020" w:rsidRPr="00C35064">
        <w:rPr>
          <w:color w:val="000000"/>
        </w:rPr>
        <w:t>График выполнения работ (оказания услуг)</w:t>
      </w:r>
      <w:r w:rsidR="009A0020" w:rsidRPr="00C35064" w:rsidDel="00691F2A">
        <w:rPr>
          <w:color w:val="000000"/>
        </w:rPr>
        <w:t xml:space="preserve"> </w:t>
      </w:r>
      <w:r w:rsidR="009A0020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9A0020">
        <w:t>Таблица стоимости работ</w:t>
      </w:r>
      <w:r w:rsidR="009A0020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9A0020" w:rsidRPr="00C35064">
        <w:rPr>
          <w:color w:val="000000"/>
        </w:rPr>
        <w:t xml:space="preserve">График </w:t>
      </w:r>
      <w:r w:rsidR="009A0020">
        <w:rPr>
          <w:color w:val="000000"/>
        </w:rPr>
        <w:t xml:space="preserve">оплаты </w:t>
      </w:r>
      <w:r w:rsidR="009A0020" w:rsidRPr="00C35064">
        <w:rPr>
          <w:color w:val="000000"/>
        </w:rPr>
        <w:t>выполнения работ (оказания услуг)</w:t>
      </w:r>
      <w:r w:rsidR="009A0020" w:rsidRPr="00C35064" w:rsidDel="0024632F">
        <w:rPr>
          <w:color w:val="000000"/>
        </w:rPr>
        <w:t xml:space="preserve"> </w:t>
      </w:r>
      <w:r w:rsidR="009A0020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9A0020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9A0020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9A0020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9A0020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</w:instrText>
      </w:r>
      <w:r w:rsidR="002B123E">
        <w:instrText xml:space="preserve">RABIC </w:instrText>
      </w:r>
      <w:r w:rsidR="002B123E">
        <w:fldChar w:fldCharType="separate"/>
      </w:r>
      <w:r w:rsidR="009A0020">
        <w:rPr>
          <w:noProof/>
        </w:rPr>
        <w:t>1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A0020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9A0020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A002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9A0020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9A0020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A0020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3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9A0020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A0020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5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9A0020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отклонение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9A0020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A0020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9A0020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8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A002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9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A002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10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9A002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11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2B123E">
        <w:fldChar w:fldCharType="begin"/>
      </w:r>
      <w:r w:rsidR="002B123E">
        <w:instrText xml:space="preserve"> SEQ Приложение \* ARABIC </w:instrText>
      </w:r>
      <w:r w:rsidR="002B123E">
        <w:fldChar w:fldCharType="separate"/>
      </w:r>
      <w:r w:rsidR="009A0020">
        <w:rPr>
          <w:noProof/>
        </w:rPr>
        <w:t>12</w:t>
      </w:r>
      <w:r w:rsidR="002B123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Приложение к письму о подаче офетры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действующего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обязательства::</w:t>
      </w:r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 (-ов).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п.п.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Договора(-ов)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Договору(-ам).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подписании, действуют до полного исполнения Договора (-ов)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 (-ов).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передаваемым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м.п.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9A0020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Текст проекта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23E" w:rsidRDefault="002B123E">
      <w:r>
        <w:separator/>
      </w:r>
    </w:p>
  </w:endnote>
  <w:endnote w:type="continuationSeparator" w:id="0">
    <w:p w:rsidR="002B123E" w:rsidRDefault="002B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A0020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9A0020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9A0020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9A0020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23E" w:rsidRDefault="002B123E">
      <w:r>
        <w:separator/>
      </w:r>
    </w:p>
  </w:footnote>
  <w:footnote w:type="continuationSeparator" w:id="0">
    <w:p w:rsidR="002B123E" w:rsidRDefault="002B1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0185"/>
    <w:rsid w:val="000310C7"/>
    <w:rsid w:val="0003201A"/>
    <w:rsid w:val="00034EE9"/>
    <w:rsid w:val="000611C9"/>
    <w:rsid w:val="00065001"/>
    <w:rsid w:val="000716BB"/>
    <w:rsid w:val="000751B9"/>
    <w:rsid w:val="0007792B"/>
    <w:rsid w:val="000847D6"/>
    <w:rsid w:val="00086C22"/>
    <w:rsid w:val="00097C3C"/>
    <w:rsid w:val="000A0E2A"/>
    <w:rsid w:val="000A2764"/>
    <w:rsid w:val="000A61DC"/>
    <w:rsid w:val="000B1409"/>
    <w:rsid w:val="000C0390"/>
    <w:rsid w:val="000C0D63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3941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093B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B123E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1B78"/>
    <w:rsid w:val="00336CB2"/>
    <w:rsid w:val="00340F37"/>
    <w:rsid w:val="00342016"/>
    <w:rsid w:val="003510A8"/>
    <w:rsid w:val="003517E8"/>
    <w:rsid w:val="003531C4"/>
    <w:rsid w:val="003578F7"/>
    <w:rsid w:val="00360FE1"/>
    <w:rsid w:val="00362082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C6BCA"/>
    <w:rsid w:val="004D1B1A"/>
    <w:rsid w:val="004D2527"/>
    <w:rsid w:val="004D2951"/>
    <w:rsid w:val="004D4AB6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150C1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4A60"/>
    <w:rsid w:val="006B5771"/>
    <w:rsid w:val="006B6393"/>
    <w:rsid w:val="006C2011"/>
    <w:rsid w:val="006C2DB1"/>
    <w:rsid w:val="006D1D62"/>
    <w:rsid w:val="006D282C"/>
    <w:rsid w:val="006D2FA5"/>
    <w:rsid w:val="006D339E"/>
    <w:rsid w:val="006D6918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0020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19EC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04DEF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DBE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7B3F-E736-4000-92E4-C0BE0569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18033</Words>
  <Characters>102790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120582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2013-07-22T01:08:00Z</cp:lastPrinted>
  <dcterms:created xsi:type="dcterms:W3CDTF">2013-07-22T00:58:00Z</dcterms:created>
  <dcterms:modified xsi:type="dcterms:W3CDTF">2013-07-22T01:08:00Z</dcterms:modified>
</cp:coreProperties>
</file>