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3B6B27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Председатель закупочной комиссии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>
        <w:t>2-го уровня</w:t>
      </w:r>
    </w:p>
    <w:p w:rsidR="003B6B27" w:rsidRPr="00A649F9" w:rsidRDefault="003B6B27" w:rsidP="003B6B27">
      <w:pPr>
        <w:spacing w:line="240" w:lineRule="auto"/>
        <w:ind w:left="4678" w:hanging="9"/>
        <w:jc w:val="center"/>
        <w:rPr>
          <w:b/>
          <w:i/>
        </w:rPr>
      </w:pPr>
      <w:r w:rsidRPr="004D436A">
        <w:t xml:space="preserve">                 __________________</w:t>
      </w:r>
      <w:proofErr w:type="spellStart"/>
      <w:r w:rsidRPr="00A649F9">
        <w:rPr>
          <w:b/>
          <w:i/>
        </w:rPr>
        <w:t>В.А.Юхимук</w:t>
      </w:r>
      <w:proofErr w:type="spellEnd"/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 xml:space="preserve">год 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3B6B27" w:rsidRPr="009836C0" w:rsidRDefault="009836C0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9836C0">
        <w:rPr>
          <w:b/>
          <w:bCs/>
          <w:i/>
          <w:sz w:val="40"/>
          <w:szCs w:val="40"/>
        </w:rPr>
        <w:t>Вырубка деревьев, чистка просеки ВЛ-110кВ "БВС-КРС", "Биробиджан-</w:t>
      </w:r>
      <w:proofErr w:type="spellStart"/>
      <w:r w:rsidRPr="009836C0">
        <w:rPr>
          <w:b/>
          <w:bCs/>
          <w:i/>
          <w:sz w:val="40"/>
          <w:szCs w:val="40"/>
        </w:rPr>
        <w:t>Унгун</w:t>
      </w:r>
      <w:proofErr w:type="spellEnd"/>
      <w:r w:rsidRPr="009836C0">
        <w:rPr>
          <w:b/>
          <w:bCs/>
          <w:i/>
          <w:sz w:val="40"/>
          <w:szCs w:val="40"/>
        </w:rPr>
        <w:t>"</w:t>
      </w:r>
    </w:p>
    <w:p w:rsidR="009836C0" w:rsidRDefault="009836C0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9836C0">
        <w:t>Э</w:t>
      </w:r>
      <w:r>
        <w:t>лектрические сети</w:t>
      </w:r>
      <w:r w:rsidR="009836C0">
        <w:t xml:space="preserve"> ЕАО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9836C0" w:rsidP="003B6B27">
      <w:pPr>
        <w:spacing w:line="240" w:lineRule="auto"/>
        <w:ind w:firstLine="0"/>
        <w:jc w:val="center"/>
      </w:pPr>
      <w:r>
        <w:t>(закупка 1396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</w:t>
        </w:r>
        <w:r w:rsidR="008A1032" w:rsidRPr="002E605D">
          <w:rPr>
            <w:rStyle w:val="ac"/>
          </w:rPr>
          <w:t>И</w:t>
        </w:r>
        <w:r w:rsidR="008A1032" w:rsidRPr="002E605D">
          <w:rPr>
            <w:rStyle w:val="ac"/>
          </w:rPr>
          <w:t>ОННА</w:t>
        </w:r>
        <w:r w:rsidR="008A1032" w:rsidRPr="002E605D">
          <w:rPr>
            <w:rStyle w:val="ac"/>
          </w:rPr>
          <w:t>Я</w:t>
        </w:r>
        <w:r w:rsidR="008A1032" w:rsidRPr="002E605D">
          <w:rPr>
            <w:rStyle w:val="ac"/>
          </w:rPr>
          <w:t xml:space="preserve">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8C756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336CB2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6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6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 w:rsidRPr="00336CB2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336CB2" w:rsidRPr="00336CB2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 w:rsidRPr="00336CB2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36CB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36CB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36CB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336CB2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336CB2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6CB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9" w:rsidRPr="009E6FD9" w:rsidRDefault="003B6B27" w:rsidP="009E6FD9">
            <w:pPr>
              <w:tabs>
                <w:tab w:val="left" w:pos="993"/>
              </w:tabs>
              <w:autoSpaceDE w:val="0"/>
              <w:autoSpaceDN w:val="0"/>
              <w:snapToGrid w:val="0"/>
              <w:spacing w:before="60" w:line="240" w:lineRule="auto"/>
              <w:ind w:firstLine="0"/>
              <w:rPr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«ДРСК» «</w:t>
            </w:r>
            <w:r w:rsidR="009836C0">
              <w:rPr>
                <w:b/>
                <w:sz w:val="24"/>
                <w:szCs w:val="24"/>
              </w:rPr>
              <w:t>Э</w:t>
            </w:r>
            <w:r w:rsidRPr="009E6FD9">
              <w:rPr>
                <w:b/>
                <w:sz w:val="24"/>
                <w:szCs w:val="24"/>
              </w:rPr>
              <w:t>лектрические сети</w:t>
            </w:r>
            <w:r w:rsidR="009836C0">
              <w:rPr>
                <w:b/>
                <w:sz w:val="24"/>
                <w:szCs w:val="24"/>
              </w:rPr>
              <w:t xml:space="preserve"> ЕАО</w:t>
            </w:r>
            <w:r w:rsidRPr="009E6FD9">
              <w:rPr>
                <w:b/>
                <w:sz w:val="24"/>
                <w:szCs w:val="24"/>
              </w:rPr>
              <w:t>»</w:t>
            </w:r>
            <w:r w:rsidRPr="009E6FD9">
              <w:rPr>
                <w:sz w:val="24"/>
                <w:szCs w:val="24"/>
              </w:rPr>
              <w:t xml:space="preserve"> почтовый адрес: </w:t>
            </w:r>
            <w:r w:rsidR="009836C0">
              <w:rPr>
                <w:sz w:val="24"/>
                <w:szCs w:val="24"/>
              </w:rPr>
              <w:t xml:space="preserve">679016, ЕАО, г. Биробиджан, ул. </w:t>
            </w:r>
            <w:proofErr w:type="gramStart"/>
            <w:r w:rsidR="009836C0">
              <w:rPr>
                <w:sz w:val="24"/>
                <w:szCs w:val="24"/>
              </w:rPr>
              <w:t>Черноморская</w:t>
            </w:r>
            <w:proofErr w:type="gramEnd"/>
            <w:r w:rsidR="009836C0">
              <w:rPr>
                <w:sz w:val="24"/>
                <w:szCs w:val="24"/>
              </w:rPr>
              <w:t>, 6.</w:t>
            </w:r>
          </w:p>
          <w:p w:rsidR="00BA5102" w:rsidRPr="00C35064" w:rsidRDefault="00BA5102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8C756C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9836C0">
              <w:rPr>
                <w:sz w:val="24"/>
              </w:rPr>
              <w:t>от 18.07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8C756C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B3354D">
              <w:rPr>
                <w:sz w:val="24"/>
              </w:rPr>
              <w:t xml:space="preserve">работ </w:t>
            </w:r>
            <w:r w:rsidR="009836C0" w:rsidRPr="002C6DA8">
              <w:rPr>
                <w:b/>
                <w:bCs/>
                <w:i/>
                <w:sz w:val="26"/>
                <w:szCs w:val="26"/>
              </w:rPr>
              <w:t>Вырубка деревьев, чистка просеки ВЛ-110кВ "БВС-КРС", "Биробиджан-</w:t>
            </w:r>
            <w:proofErr w:type="spellStart"/>
            <w:r w:rsidR="009836C0" w:rsidRPr="002C6DA8">
              <w:rPr>
                <w:b/>
                <w:bCs/>
                <w:i/>
                <w:sz w:val="26"/>
                <w:szCs w:val="26"/>
              </w:rPr>
              <w:t>Унгун</w:t>
            </w:r>
            <w:proofErr w:type="spellEnd"/>
            <w:r w:rsidR="009836C0" w:rsidRPr="002C6DA8">
              <w:rPr>
                <w:b/>
                <w:bCs/>
                <w:i/>
                <w:sz w:val="26"/>
                <w:szCs w:val="26"/>
              </w:rPr>
              <w:t>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9836C0">
              <w:rPr>
                <w:bCs/>
                <w:i/>
                <w:sz w:val="24"/>
                <w:szCs w:val="24"/>
              </w:rPr>
              <w:t xml:space="preserve">Еврейская автономная </w:t>
            </w:r>
            <w:r w:rsidR="00C23147">
              <w:rPr>
                <w:bCs/>
                <w:i/>
                <w:sz w:val="24"/>
                <w:szCs w:val="24"/>
              </w:rPr>
              <w:t>область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9836C0">
              <w:rPr>
                <w:sz w:val="24"/>
              </w:rPr>
              <w:t xml:space="preserve">сентябрь – декабрь </w:t>
            </w:r>
            <w:r w:rsidR="00C23147" w:rsidRPr="00C23147">
              <w:rPr>
                <w:sz w:val="24"/>
              </w:rPr>
              <w:t>2013 г.</w:t>
            </w:r>
          </w:p>
          <w:p w:rsidR="009836C0" w:rsidRPr="009836C0" w:rsidRDefault="006978F0" w:rsidP="009836C0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7F6CE9">
              <w:rPr>
                <w:b/>
                <w:sz w:val="24"/>
              </w:rPr>
              <w:t>Срок гарантии:</w:t>
            </w:r>
            <w:r>
              <w:rPr>
                <w:sz w:val="24"/>
              </w:rPr>
              <w:t xml:space="preserve"> </w:t>
            </w:r>
            <w:r w:rsidR="009E6FD9">
              <w:rPr>
                <w:sz w:val="24"/>
              </w:rPr>
              <w:t>на выполне</w:t>
            </w:r>
            <w:r w:rsidR="00C23147">
              <w:rPr>
                <w:sz w:val="24"/>
              </w:rPr>
              <w:t xml:space="preserve">нные работы не менее 24 месяцев, </w:t>
            </w:r>
          </w:p>
          <w:p w:rsidR="008A74D8" w:rsidRPr="006C2DB1" w:rsidRDefault="00484A47" w:rsidP="009836C0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3B6E98">
              <w:rPr>
                <w:b/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833A4A" w:rsidRPr="003B6E98">
              <w:rPr>
                <w:b/>
                <w:i/>
                <w:sz w:val="24"/>
              </w:rPr>
              <w:fldChar w:fldCharType="begin"/>
            </w:r>
            <w:r w:rsidR="00833A4A" w:rsidRPr="003B6E98">
              <w:rPr>
                <w:b/>
                <w:i/>
                <w:sz w:val="24"/>
              </w:rPr>
              <w:instrText xml:space="preserve"> REF _Ref335067200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833A4A" w:rsidRPr="003B6E98">
              <w:rPr>
                <w:b/>
                <w:i/>
                <w:sz w:val="24"/>
              </w:rPr>
            </w:r>
            <w:r w:rsidR="00833A4A" w:rsidRPr="003B6E98">
              <w:rPr>
                <w:b/>
                <w:i/>
                <w:sz w:val="24"/>
              </w:rPr>
              <w:fldChar w:fldCharType="separate"/>
            </w:r>
            <w:r w:rsidR="00336CB2">
              <w:rPr>
                <w:b/>
                <w:i/>
                <w:sz w:val="24"/>
              </w:rPr>
              <w:t>6</w:t>
            </w:r>
            <w:r w:rsidR="00833A4A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 xml:space="preserve"> </w:t>
            </w:r>
            <w:r w:rsidR="00AC3FF4" w:rsidRPr="003B6E98">
              <w:rPr>
                <w:b/>
                <w:i/>
                <w:sz w:val="24"/>
              </w:rPr>
              <w:t xml:space="preserve">(техническое задание) </w:t>
            </w:r>
            <w:r w:rsidRPr="003B6E98">
              <w:rPr>
                <w:b/>
                <w:i/>
                <w:sz w:val="24"/>
              </w:rPr>
              <w:t xml:space="preserve">и </w:t>
            </w:r>
            <w:r w:rsidR="00342016" w:rsidRPr="003B6E98">
              <w:rPr>
                <w:b/>
                <w:i/>
                <w:sz w:val="24"/>
              </w:rPr>
              <w:fldChar w:fldCharType="begin"/>
            </w:r>
            <w:r w:rsidR="00342016" w:rsidRPr="003B6E98">
              <w:rPr>
                <w:b/>
                <w:i/>
                <w:sz w:val="24"/>
              </w:rPr>
              <w:instrText xml:space="preserve"> REF _Ref324347300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342016" w:rsidRPr="003B6E98">
              <w:rPr>
                <w:b/>
                <w:i/>
                <w:sz w:val="24"/>
              </w:rPr>
            </w:r>
            <w:r w:rsidR="00342016" w:rsidRPr="003B6E98">
              <w:rPr>
                <w:b/>
                <w:i/>
                <w:sz w:val="24"/>
              </w:rPr>
              <w:fldChar w:fldCharType="separate"/>
            </w:r>
            <w:r w:rsidR="00336CB2">
              <w:rPr>
                <w:b/>
                <w:i/>
                <w:sz w:val="24"/>
              </w:rPr>
              <w:t>7</w:t>
            </w:r>
            <w:r w:rsidR="00342016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9836C0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5 213 300,0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336CB2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lastRenderedPageBreak/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lastRenderedPageBreak/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</w:t>
            </w:r>
            <w:r w:rsidRPr="00B91E76">
              <w:rPr>
                <w:sz w:val="24"/>
                <w:szCs w:val="24"/>
              </w:rPr>
              <w:lastRenderedPageBreak/>
              <w:t>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</w:t>
            </w:r>
            <w:r w:rsidRPr="00C35064">
              <w:rPr>
                <w:color w:val="000000"/>
                <w:sz w:val="24"/>
              </w:rPr>
              <w:lastRenderedPageBreak/>
              <w:t xml:space="preserve">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</w:t>
            </w:r>
            <w:r w:rsidRPr="00C35064">
              <w:rPr>
                <w:sz w:val="24"/>
                <w:szCs w:val="24"/>
              </w:rPr>
              <w:lastRenderedPageBreak/>
              <w:t xml:space="preserve">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 xml:space="preserve">ии у </w:t>
            </w:r>
            <w:r w:rsidRPr="00C35064">
              <w:rPr>
                <w:sz w:val="24"/>
                <w:szCs w:val="24"/>
              </w:rPr>
              <w:lastRenderedPageBreak/>
              <w:t>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</w:t>
            </w:r>
            <w:r w:rsidRPr="00C35064">
              <w:rPr>
                <w:rStyle w:val="af9"/>
                <w:sz w:val="24"/>
                <w:szCs w:val="24"/>
              </w:rPr>
              <w:lastRenderedPageBreak/>
              <w:t>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</w:t>
            </w:r>
            <w:r w:rsidRPr="00C35064">
              <w:rPr>
                <w:sz w:val="24"/>
                <w:szCs w:val="24"/>
              </w:rPr>
              <w:lastRenderedPageBreak/>
              <w:t>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336CB2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18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9836C0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</w:t>
            </w:r>
            <w:bookmarkStart w:id="282" w:name="_GoBack"/>
            <w:bookmarkEnd w:id="282"/>
            <w:r w:rsidR="00A13BF5">
              <w:rPr>
                <w:b/>
                <w:i/>
                <w:color w:val="000000"/>
                <w:sz w:val="24"/>
              </w:rPr>
              <w:t>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9836C0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9836C0">
              <w:rPr>
                <w:b/>
                <w:i/>
                <w:color w:val="000000"/>
                <w:sz w:val="24"/>
              </w:rPr>
              <w:t>29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9836C0">
              <w:rPr>
                <w:b/>
                <w:i/>
                <w:color w:val="000000"/>
                <w:sz w:val="24"/>
              </w:rPr>
              <w:t>июл</w:t>
            </w:r>
            <w:r w:rsidR="00CA1636">
              <w:rPr>
                <w:b/>
                <w:i/>
                <w:color w:val="000000"/>
                <w:sz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CA163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9836C0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9836C0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9836C0">
              <w:rPr>
                <w:b/>
                <w:i/>
                <w:color w:val="000000"/>
                <w:sz w:val="24"/>
              </w:rPr>
              <w:t>30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9836C0">
              <w:rPr>
                <w:b/>
                <w:i/>
                <w:color w:val="000000"/>
                <w:sz w:val="24"/>
              </w:rPr>
              <w:t>июл</w:t>
            </w:r>
            <w:r w:rsidR="00CA1636">
              <w:rPr>
                <w:b/>
                <w:i/>
                <w:color w:val="000000"/>
                <w:sz w:val="24"/>
              </w:rPr>
              <w:t>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336CB2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336CB2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336CB2" w:rsidRPr="00C35064">
        <w:t>Техническое предложение (форма</w:t>
      </w:r>
      <w:r w:rsidR="00336CB2" w:rsidRPr="00C35064">
        <w:rPr>
          <w:noProof/>
        </w:rPr>
        <w:t xml:space="preserve"> </w:t>
      </w:r>
      <w:r w:rsidR="00336CB2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336CB2" w:rsidRPr="00C35064">
        <w:rPr>
          <w:color w:val="000000"/>
        </w:rPr>
        <w:t>График выполнения работ (оказания услуг)</w:t>
      </w:r>
      <w:r w:rsidR="00336CB2" w:rsidRPr="00C35064" w:rsidDel="00691F2A">
        <w:rPr>
          <w:color w:val="000000"/>
        </w:rPr>
        <w:t xml:space="preserve"> </w:t>
      </w:r>
      <w:r w:rsidR="00336CB2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336CB2">
        <w:t>Таблица стоимости работ</w:t>
      </w:r>
      <w:r w:rsidR="00336CB2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336CB2" w:rsidRPr="00C35064">
        <w:rPr>
          <w:color w:val="000000"/>
        </w:rPr>
        <w:t xml:space="preserve">График </w:t>
      </w:r>
      <w:r w:rsidR="00336CB2">
        <w:rPr>
          <w:color w:val="000000"/>
        </w:rPr>
        <w:t xml:space="preserve">оплаты </w:t>
      </w:r>
      <w:r w:rsidR="00336CB2" w:rsidRPr="00C35064">
        <w:rPr>
          <w:color w:val="000000"/>
        </w:rPr>
        <w:t>выполнения работ (оказания услуг)</w:t>
      </w:r>
      <w:r w:rsidR="00336CB2" w:rsidRPr="00C35064" w:rsidDel="0024632F">
        <w:rPr>
          <w:color w:val="000000"/>
        </w:rPr>
        <w:t xml:space="preserve"> </w:t>
      </w:r>
      <w:r w:rsidR="00336CB2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336CB2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336CB2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336CB2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336CB2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C756C">
        <w:fldChar w:fldCharType="begin"/>
      </w:r>
      <w:r w:rsidR="008C756C">
        <w:instrText xml:space="preserve"> SEQ Приложение \* ARABIC </w:instrText>
      </w:r>
      <w:r w:rsidR="008C756C">
        <w:fldChar w:fldCharType="separate"/>
      </w:r>
      <w:r w:rsidR="00336CB2">
        <w:rPr>
          <w:noProof/>
        </w:rPr>
        <w:t>1</w:t>
      </w:r>
      <w:r w:rsidR="008C756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36CB2">
        <w:rPr>
          <w:i/>
          <w:color w:val="000000"/>
          <w:szCs w:val="28"/>
        </w:rPr>
        <w:t>6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36CB2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36CB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336CB2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336CB2">
        <w:t>6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36CB2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C756C">
        <w:fldChar w:fldCharType="begin"/>
      </w:r>
      <w:r w:rsidR="008C756C">
        <w:instrText xml:space="preserve"> SEQ Приложение \* ARABIC </w:instrText>
      </w:r>
      <w:r w:rsidR="008C756C">
        <w:fldChar w:fldCharType="separate"/>
      </w:r>
      <w:r w:rsidR="00336CB2">
        <w:rPr>
          <w:noProof/>
        </w:rPr>
        <w:t>3</w:t>
      </w:r>
      <w:r w:rsidR="008C756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336CB2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36CB2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C756C">
        <w:fldChar w:fldCharType="begin"/>
      </w:r>
      <w:r w:rsidR="008C756C">
        <w:instrText xml:space="preserve"> SEQ Приложение \* ARABIC </w:instrText>
      </w:r>
      <w:r w:rsidR="008C756C">
        <w:fldChar w:fldCharType="separate"/>
      </w:r>
      <w:r w:rsidR="00336CB2">
        <w:rPr>
          <w:noProof/>
        </w:rPr>
        <w:t>5</w:t>
      </w:r>
      <w:r w:rsidR="008C756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336CB2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336CB2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36CB2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36CB2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C756C">
        <w:fldChar w:fldCharType="begin"/>
      </w:r>
      <w:r w:rsidR="008C756C">
        <w:instrText xml:space="preserve"> SEQ Приложение \* ARABIC </w:instrText>
      </w:r>
      <w:r w:rsidR="008C756C">
        <w:fldChar w:fldCharType="separate"/>
      </w:r>
      <w:r w:rsidR="00336CB2">
        <w:rPr>
          <w:noProof/>
        </w:rPr>
        <w:t>8</w:t>
      </w:r>
      <w:r w:rsidR="008C756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36CB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C756C">
        <w:fldChar w:fldCharType="begin"/>
      </w:r>
      <w:r w:rsidR="008C756C">
        <w:instrText xml:space="preserve"> SEQ Приложение \* ARABIC </w:instrText>
      </w:r>
      <w:r w:rsidR="008C756C">
        <w:fldChar w:fldCharType="separate"/>
      </w:r>
      <w:r w:rsidR="00336CB2">
        <w:rPr>
          <w:noProof/>
        </w:rPr>
        <w:t>9</w:t>
      </w:r>
      <w:r w:rsidR="008C756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36CB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C756C">
        <w:fldChar w:fldCharType="begin"/>
      </w:r>
      <w:r w:rsidR="008C756C">
        <w:instrText xml:space="preserve"> SEQ Приложение \* ARABIC </w:instrText>
      </w:r>
      <w:r w:rsidR="008C756C">
        <w:fldChar w:fldCharType="separate"/>
      </w:r>
      <w:r w:rsidR="00336CB2">
        <w:rPr>
          <w:noProof/>
        </w:rPr>
        <w:t>10</w:t>
      </w:r>
      <w:r w:rsidR="008C756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36CB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8C756C">
        <w:fldChar w:fldCharType="begin"/>
      </w:r>
      <w:r w:rsidR="008C756C">
        <w:instrText xml:space="preserve"> SEQ Приложение \* ARABIC </w:instrText>
      </w:r>
      <w:r w:rsidR="008C756C">
        <w:fldChar w:fldCharType="separate"/>
      </w:r>
      <w:r w:rsidR="00336CB2">
        <w:rPr>
          <w:noProof/>
        </w:rPr>
        <w:t>11</w:t>
      </w:r>
      <w:r w:rsidR="008C756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8C756C">
        <w:fldChar w:fldCharType="begin"/>
      </w:r>
      <w:r w:rsidR="008C756C">
        <w:instrText xml:space="preserve"> SEQ Приложение \* ARABIC </w:instrText>
      </w:r>
      <w:r w:rsidR="008C756C">
        <w:fldChar w:fldCharType="separate"/>
      </w:r>
      <w:r w:rsidR="00336CB2">
        <w:rPr>
          <w:noProof/>
        </w:rPr>
        <w:t>12</w:t>
      </w:r>
      <w:r w:rsidR="008C756C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Приложение к письму о подаче </w:t>
      </w:r>
      <w:proofErr w:type="spellStart"/>
      <w:r w:rsidRPr="00632340">
        <w:rPr>
          <w:sz w:val="24"/>
          <w:szCs w:val="24"/>
        </w:rPr>
        <w:t>офетры</w:t>
      </w:r>
      <w:proofErr w:type="spellEnd"/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632340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Гарантийное письмо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bCs/>
          <w:sz w:val="24"/>
          <w:szCs w:val="24"/>
        </w:rPr>
        <w:t xml:space="preserve">г. ______________             </w:t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</w:t>
      </w:r>
      <w:r w:rsidRPr="00632340">
        <w:rPr>
          <w:bCs/>
          <w:sz w:val="24"/>
          <w:szCs w:val="24"/>
        </w:rPr>
        <w:t xml:space="preserve">  </w:t>
      </w:r>
      <w:r w:rsidRPr="00632340">
        <w:rPr>
          <w:bCs/>
          <w:sz w:val="24"/>
          <w:szCs w:val="24"/>
        </w:rPr>
        <w:tab/>
        <w:t>«___» ____________ 201__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pacing w:val="-1"/>
          <w:sz w:val="24"/>
          <w:szCs w:val="24"/>
        </w:rPr>
        <w:t xml:space="preserve">__________________________________ </w:t>
      </w:r>
      <w:r w:rsidRPr="00632340">
        <w:rPr>
          <w:sz w:val="24"/>
          <w:szCs w:val="24"/>
        </w:rPr>
        <w:t xml:space="preserve">в лице _______________________, </w:t>
      </w:r>
      <w:proofErr w:type="gramStart"/>
      <w:r w:rsidRPr="00632340">
        <w:rPr>
          <w:sz w:val="24"/>
          <w:szCs w:val="24"/>
        </w:rPr>
        <w:t>действующего</w:t>
      </w:r>
      <w:proofErr w:type="gramEnd"/>
      <w:r w:rsidRPr="00632340">
        <w:rPr>
          <w:sz w:val="24"/>
          <w:szCs w:val="24"/>
        </w:rPr>
        <w:t xml:space="preserve"> на основании ___________, именуемое в дальнейшем _________ </w:t>
      </w:r>
      <w:r w:rsidRPr="00632340">
        <w:rPr>
          <w:i/>
          <w:iCs/>
          <w:sz w:val="24"/>
          <w:szCs w:val="24"/>
        </w:rPr>
        <w:t>[Подрядчик/Поставщик/ Исполнитель]</w:t>
      </w:r>
      <w:r w:rsidRPr="00632340">
        <w:rPr>
          <w:sz w:val="24"/>
          <w:szCs w:val="24"/>
        </w:rPr>
        <w:t xml:space="preserve">, 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</w:t>
      </w:r>
      <w:proofErr w:type="gramStart"/>
      <w:r w:rsidRPr="00632340">
        <w:rPr>
          <w:sz w:val="24"/>
          <w:szCs w:val="24"/>
        </w:rPr>
        <w:t>::</w:t>
      </w:r>
      <w:proofErr w:type="gramEnd"/>
    </w:p>
    <w:p w:rsidR="00451C30" w:rsidRPr="00632340" w:rsidRDefault="00451C30" w:rsidP="00451C3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proofErr w:type="gramStart"/>
      <w:r w:rsidRPr="00632340">
        <w:rPr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                  от 12.10.2006 № 53 «Об оценке арбитражными судами обоснованности получения налогоплательщиком налоговой выгоды», постановлениями Президиума ВАС РФ                         от 20.04.2010 </w:t>
      </w:r>
      <w:hyperlink r:id="rId21" w:history="1">
        <w:r w:rsidRPr="00632340">
          <w:rPr>
            <w:sz w:val="24"/>
            <w:szCs w:val="24"/>
          </w:rPr>
          <w:t>№ 18162/09</w:t>
        </w:r>
      </w:hyperlink>
      <w:r w:rsidRPr="00632340">
        <w:rPr>
          <w:sz w:val="24"/>
          <w:szCs w:val="24"/>
        </w:rPr>
        <w:t xml:space="preserve"> и от 25.05.2010 </w:t>
      </w:r>
      <w:hyperlink r:id="rId22" w:history="1">
        <w:r w:rsidRPr="00632340">
          <w:rPr>
            <w:sz w:val="24"/>
            <w:szCs w:val="24"/>
          </w:rPr>
          <w:t>№ 15658/09</w:t>
        </w:r>
      </w:hyperlink>
      <w:r w:rsidRPr="00632340">
        <w:rPr>
          <w:sz w:val="24"/>
          <w:szCs w:val="24"/>
        </w:rPr>
        <w:t>, согласно которым при оценке необоснованной налоговой</w:t>
      </w:r>
      <w:proofErr w:type="gramEnd"/>
      <w:r w:rsidRPr="00632340">
        <w:rPr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3" w:history="1">
        <w:proofErr w:type="gramStart"/>
        <w:r w:rsidRPr="00632340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632340">
        <w:rPr>
          <w:rFonts w:eastAsia="Calibri"/>
          <w:sz w:val="24"/>
          <w:szCs w:val="24"/>
          <w:lang w:eastAsia="en-US"/>
        </w:rPr>
        <w:t>ям</w:t>
      </w:r>
      <w:proofErr w:type="gramEnd"/>
      <w:r w:rsidRPr="00632340">
        <w:rPr>
          <w:rFonts w:eastAsia="Calibri"/>
          <w:sz w:val="24"/>
          <w:szCs w:val="24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632340">
        <w:rPr>
          <w:sz w:val="24"/>
          <w:szCs w:val="24"/>
        </w:rPr>
        <w:t xml:space="preserve"> или заменяющий его документ).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Настоящим _________ </w:t>
      </w:r>
      <w:r w:rsidRPr="00632340">
        <w:rPr>
          <w:i/>
          <w:sz w:val="24"/>
          <w:szCs w:val="24"/>
        </w:rPr>
        <w:t>[Подрядчик/Поставщик/Исполнитель]</w:t>
      </w:r>
      <w:r w:rsidRPr="00632340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____________ </w:t>
      </w:r>
      <w:r w:rsidRPr="00632340">
        <w:rPr>
          <w:i/>
          <w:sz w:val="24"/>
          <w:szCs w:val="24"/>
        </w:rPr>
        <w:t>[Заказчика/Покупателя]</w:t>
      </w:r>
      <w:r w:rsidRPr="00632340">
        <w:rPr>
          <w:sz w:val="24"/>
          <w:szCs w:val="24"/>
        </w:rPr>
        <w:t xml:space="preserve"> и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исходить из них при исполнении (каждого из)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В случае нарушения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 xml:space="preserve">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 xml:space="preserve">. 1, 2 настоящего Гарантийного письма,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632340">
        <w:rPr>
          <w:sz w:val="24"/>
          <w:szCs w:val="24"/>
        </w:rPr>
        <w:t>а(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Уведомления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>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_________ </w:t>
      </w:r>
      <w:r w:rsidRPr="00632340">
        <w:rPr>
          <w:i/>
          <w:sz w:val="24"/>
          <w:szCs w:val="24"/>
        </w:rPr>
        <w:t>[Подрядчика/Поставщика/</w:t>
      </w:r>
      <w:r w:rsidRPr="00632340">
        <w:rPr>
          <w:sz w:val="24"/>
          <w:szCs w:val="24"/>
        </w:rPr>
        <w:t xml:space="preserve"> </w:t>
      </w:r>
      <w:r w:rsidRPr="00632340">
        <w:rPr>
          <w:i/>
          <w:sz w:val="24"/>
          <w:szCs w:val="24"/>
        </w:rPr>
        <w:t xml:space="preserve">Исполнителя] </w:t>
      </w:r>
      <w:r w:rsidRPr="00632340">
        <w:rPr>
          <w:sz w:val="24"/>
          <w:szCs w:val="24"/>
        </w:rPr>
        <w:t>до указанной даты расторжения.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632340">
        <w:rPr>
          <w:sz w:val="24"/>
          <w:szCs w:val="24"/>
        </w:rPr>
        <w:lastRenderedPageBreak/>
        <w:t xml:space="preserve">Настоящим _______________ </w:t>
      </w:r>
      <w:r w:rsidRPr="00632340">
        <w:rPr>
          <w:i/>
          <w:sz w:val="24"/>
          <w:szCs w:val="24"/>
        </w:rPr>
        <w:t xml:space="preserve">[Подрядчик/Поставщик/Исполнитель] </w:t>
      </w:r>
      <w:r w:rsidRPr="00632340">
        <w:rPr>
          <w:sz w:val="24"/>
          <w:szCs w:val="24"/>
        </w:rPr>
        <w:t xml:space="preserve">принимает обязательство уплатить 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_______________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в результате нарушения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>. 1, 2  настоящего Гарантийного письма, сверх суммы штрафа.</w:t>
      </w:r>
      <w:proofErr w:type="gramEnd"/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соответствующего требования.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в соответствии с п. 4 настоящего Гарантийного письма.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приостановить осуществление платежей, причитающихся _______________ </w:t>
      </w:r>
      <w:r w:rsidRPr="00632340">
        <w:rPr>
          <w:i/>
          <w:sz w:val="24"/>
          <w:szCs w:val="24"/>
        </w:rPr>
        <w:t>[Подрядчику/Поставщику/Исполнителю],</w:t>
      </w:r>
      <w:r w:rsidRPr="00632340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632340">
        <w:rPr>
          <w:sz w:val="24"/>
          <w:szCs w:val="24"/>
        </w:rPr>
        <w:t>у(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ам</w:t>
      </w:r>
      <w:proofErr w:type="spellEnd"/>
      <w:r w:rsidRPr="00632340">
        <w:rPr>
          <w:sz w:val="24"/>
          <w:szCs w:val="24"/>
        </w:rPr>
        <w:t>).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r w:rsidRPr="00632340">
        <w:rPr>
          <w:sz w:val="24"/>
          <w:szCs w:val="24"/>
        </w:rPr>
        <w:tab/>
        <w:t xml:space="preserve">9. Обязательства _______________ </w:t>
      </w:r>
      <w:r w:rsidRPr="00632340">
        <w:rPr>
          <w:i/>
          <w:sz w:val="24"/>
          <w:szCs w:val="24"/>
        </w:rPr>
        <w:t xml:space="preserve">[Подрядчика/Поставщика/Исполнителя] </w:t>
      </w:r>
      <w:r w:rsidRPr="00632340">
        <w:rPr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632340">
        <w:rPr>
          <w:sz w:val="24"/>
          <w:szCs w:val="24"/>
        </w:rPr>
        <w:t>подписании</w:t>
      </w:r>
      <w:proofErr w:type="gramEnd"/>
      <w:r w:rsidRPr="00632340">
        <w:rPr>
          <w:sz w:val="24"/>
          <w:szCs w:val="24"/>
        </w:rPr>
        <w:t>, действуют до полного исполнения Договора (-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ab/>
        <w:t xml:space="preserve">10. Настоящее Гарантийное письмо составлено в одном оригинальном экземпляре, </w:t>
      </w:r>
      <w:proofErr w:type="gramStart"/>
      <w:r w:rsidRPr="00632340">
        <w:rPr>
          <w:sz w:val="24"/>
          <w:szCs w:val="24"/>
        </w:rPr>
        <w:t>передаваемым</w:t>
      </w:r>
      <w:proofErr w:type="gramEnd"/>
      <w:r w:rsidRPr="00632340">
        <w:rPr>
          <w:sz w:val="24"/>
          <w:szCs w:val="24"/>
        </w:rPr>
        <w:t xml:space="preserve"> ____________ [Заказчику/Покупателю]. Копия такого экземпляра с отметкой ____________ [Заказчика/Покупателя] в получении имеет равную с оригиналом юридическую силу. </w:t>
      </w:r>
    </w:p>
    <w:p w:rsidR="00451C30" w:rsidRPr="00632340" w:rsidRDefault="00451C30" w:rsidP="00451C30">
      <w:pPr>
        <w:pStyle w:val="4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_______________ </w:t>
      </w:r>
      <w:r w:rsidRPr="00632340">
        <w:rPr>
          <w:i/>
          <w:sz w:val="24"/>
          <w:szCs w:val="24"/>
        </w:rPr>
        <w:t>[наименование Подрядчика/Поставщика/Исполнителя]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_______________ / _______________ /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proofErr w:type="spellStart"/>
      <w:r w:rsidRPr="00632340">
        <w:rPr>
          <w:sz w:val="24"/>
          <w:szCs w:val="24"/>
        </w:rPr>
        <w:t>м.п</w:t>
      </w:r>
      <w:proofErr w:type="spellEnd"/>
      <w:r w:rsidRPr="00632340">
        <w:rPr>
          <w:sz w:val="24"/>
          <w:szCs w:val="24"/>
        </w:rPr>
        <w:t>.</w:t>
      </w:r>
    </w:p>
    <w:p w:rsidR="00451C30" w:rsidRPr="00632340" w:rsidRDefault="00451C30" w:rsidP="00451C30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C35064" w:rsidRDefault="00451C30" w:rsidP="001C2FAE"/>
    <w:p w:rsidR="00473526" w:rsidRPr="00C35064" w:rsidRDefault="00804E8F" w:rsidP="00473526">
      <w:pPr>
        <w:pStyle w:val="1"/>
      </w:pPr>
      <w:bookmarkStart w:id="416" w:name="_Ref335067200"/>
      <w:bookmarkStart w:id="417" w:name="_Toc356822158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336CB2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56C" w:rsidRDefault="008C756C">
      <w:r>
        <w:separator/>
      </w:r>
    </w:p>
  </w:endnote>
  <w:endnote w:type="continuationSeparator" w:id="0">
    <w:p w:rsidR="008C756C" w:rsidRDefault="008C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36CB2">
      <w:rPr>
        <w:rStyle w:val="ae"/>
        <w:noProof/>
      </w:rPr>
      <w:t>31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36CB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36CB2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36CB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56C" w:rsidRDefault="008C756C">
      <w:r>
        <w:separator/>
      </w:r>
    </w:p>
  </w:footnote>
  <w:footnote w:type="continuationSeparator" w:id="0">
    <w:p w:rsidR="008C756C" w:rsidRDefault="008C7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Style w:val="aa"/>
      <w:pBdr>
        <w:bottom w:val="none" w:sz="0" w:space="0" w:color="auto"/>
      </w:pBdr>
    </w:pPr>
  </w:p>
  <w:p w:rsidR="008A1032" w:rsidRDefault="008A1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5098"/>
    <w:rsid w:val="00767B8E"/>
    <w:rsid w:val="00767F0C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F53"/>
    <w:rsid w:val="00CA10CD"/>
    <w:rsid w:val="00CA1636"/>
    <w:rsid w:val="00CA6722"/>
    <w:rsid w:val="00CA6B16"/>
    <w:rsid w:val="00CB1EDB"/>
    <w:rsid w:val="00CC6DF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F87B4-5D3A-400D-B1D2-0B17D7727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17966</Words>
  <Characters>102408</Characters>
  <Application>Microsoft Office Word</Application>
  <DocSecurity>0</DocSecurity>
  <Lines>853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120134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3</cp:revision>
  <cp:lastPrinted>2013-07-17T04:42:00Z</cp:lastPrinted>
  <dcterms:created xsi:type="dcterms:W3CDTF">2013-07-17T04:40:00Z</dcterms:created>
  <dcterms:modified xsi:type="dcterms:W3CDTF">2013-07-17T05:02:00Z</dcterms:modified>
</cp:coreProperties>
</file>