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4C46BA" w:rsidRDefault="00791CB7" w:rsidP="004C46BA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6C8498C" wp14:editId="6CBA41DE">
            <wp:simplePos x="0" y="0"/>
            <wp:positionH relativeFrom="column">
              <wp:posOffset>2514600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4C46BA">
        <w:trPr>
          <w:jc w:val="center"/>
        </w:trPr>
        <w:tc>
          <w:tcPr>
            <w:tcW w:w="2314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4C46BA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452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4C46BA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23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71FC1" w:rsidRPr="008D5C32" w:rsidRDefault="00171FC1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C46BA" w:rsidRPr="00D35AC8" w:rsidRDefault="009F683E" w:rsidP="004C46B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</w:t>
      </w:r>
      <w:r w:rsidR="004C46BA" w:rsidRPr="004C46BA">
        <w:rPr>
          <w:sz w:val="24"/>
          <w:szCs w:val="24"/>
        </w:rPr>
        <w:t xml:space="preserve"> </w:t>
      </w:r>
      <w:r w:rsidR="004C46BA">
        <w:rPr>
          <w:sz w:val="24"/>
          <w:szCs w:val="24"/>
        </w:rPr>
        <w:t xml:space="preserve">для нужд филиала ОАО «ДРСК» «Хабаровские электрические сети» </w:t>
      </w:r>
      <w:r w:rsidR="004C46BA" w:rsidRPr="00D35AC8">
        <w:rPr>
          <w:sz w:val="24"/>
          <w:szCs w:val="24"/>
        </w:rPr>
        <w:t xml:space="preserve"> с разбивкой на лоты:</w:t>
      </w:r>
    </w:p>
    <w:p w:rsidR="004C46BA" w:rsidRPr="00D35AC8" w:rsidRDefault="004C46BA" w:rsidP="004C46B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C8">
        <w:rPr>
          <w:b/>
          <w:bCs/>
          <w:i/>
          <w:sz w:val="24"/>
          <w:szCs w:val="24"/>
        </w:rPr>
        <w:t>Лот 1 (закупка 1405) - Капитальный ремонт ПС НПЗ, ПС ГВФ, ПС Южная;</w:t>
      </w:r>
    </w:p>
    <w:p w:rsidR="004C46BA" w:rsidRPr="00D35AC8" w:rsidRDefault="004C46BA" w:rsidP="004C46B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C8">
        <w:rPr>
          <w:b/>
          <w:i/>
          <w:sz w:val="24"/>
          <w:szCs w:val="24"/>
        </w:rPr>
        <w:t>Лот 2 (закупка 1406) -</w:t>
      </w:r>
      <w:r w:rsidRPr="00D35AC8">
        <w:rPr>
          <w:sz w:val="24"/>
          <w:szCs w:val="24"/>
        </w:rPr>
        <w:t xml:space="preserve">  </w:t>
      </w:r>
      <w:r w:rsidRPr="00D35AC8">
        <w:rPr>
          <w:b/>
          <w:bCs/>
          <w:i/>
          <w:sz w:val="24"/>
          <w:szCs w:val="24"/>
        </w:rPr>
        <w:t xml:space="preserve">Капитальный ремонт зданий: ПС </w:t>
      </w:r>
      <w:proofErr w:type="gramStart"/>
      <w:r w:rsidRPr="00D35AC8">
        <w:rPr>
          <w:b/>
          <w:bCs/>
          <w:i/>
          <w:sz w:val="24"/>
          <w:szCs w:val="24"/>
        </w:rPr>
        <w:t>Западная</w:t>
      </w:r>
      <w:proofErr w:type="gramEnd"/>
      <w:r w:rsidRPr="00D35AC8">
        <w:rPr>
          <w:b/>
          <w:bCs/>
          <w:i/>
          <w:sz w:val="24"/>
          <w:szCs w:val="24"/>
        </w:rPr>
        <w:t>, мастерской МСГИ</w:t>
      </w:r>
      <w:r w:rsidRPr="00D35AC8">
        <w:rPr>
          <w:b/>
          <w:i/>
          <w:color w:val="000000"/>
          <w:sz w:val="24"/>
          <w:szCs w:val="24"/>
        </w:rPr>
        <w:t>.</w:t>
      </w:r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FC6E59" w:rsidRPr="004C46BA" w:rsidRDefault="0038505F" w:rsidP="004C46BA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4C46BA" w:rsidRPr="00E01A87">
        <w:rPr>
          <w:b/>
          <w:sz w:val="24"/>
          <w:szCs w:val="24"/>
        </w:rPr>
        <w:t>лот № 1</w:t>
      </w:r>
      <w:r w:rsidR="004C46BA" w:rsidRPr="00E01A87">
        <w:rPr>
          <w:sz w:val="24"/>
          <w:szCs w:val="24"/>
        </w:rPr>
        <w:t xml:space="preserve"> –</w:t>
      </w:r>
      <w:r w:rsidR="004C46BA" w:rsidRPr="00E01A87">
        <w:rPr>
          <w:b/>
          <w:sz w:val="24"/>
          <w:szCs w:val="24"/>
        </w:rPr>
        <w:t>3 577 000,0</w:t>
      </w:r>
      <w:r w:rsidR="004C46BA" w:rsidRPr="00E01A87">
        <w:rPr>
          <w:sz w:val="24"/>
          <w:szCs w:val="24"/>
        </w:rPr>
        <w:t xml:space="preserve"> руб. без НДС, </w:t>
      </w:r>
      <w:r w:rsidR="004C46BA" w:rsidRPr="00E01A87">
        <w:rPr>
          <w:b/>
          <w:sz w:val="24"/>
          <w:szCs w:val="24"/>
        </w:rPr>
        <w:t>лот № 2</w:t>
      </w:r>
      <w:r w:rsidR="004C46BA" w:rsidRPr="00E01A87">
        <w:rPr>
          <w:sz w:val="24"/>
          <w:szCs w:val="24"/>
        </w:rPr>
        <w:t xml:space="preserve"> – </w:t>
      </w:r>
      <w:r w:rsidR="004C46BA" w:rsidRPr="00E01A87">
        <w:rPr>
          <w:b/>
          <w:sz w:val="24"/>
          <w:szCs w:val="24"/>
        </w:rPr>
        <w:t>2 885 000,0</w:t>
      </w:r>
      <w:r w:rsidR="004C46BA">
        <w:rPr>
          <w:sz w:val="24"/>
          <w:szCs w:val="24"/>
        </w:rPr>
        <w:t xml:space="preserve"> руб. без НДС.</w:t>
      </w:r>
      <w:r w:rsidR="00FC6E59" w:rsidRPr="005D176D">
        <w:rPr>
          <w:sz w:val="24"/>
          <w:szCs w:val="24"/>
        </w:rPr>
        <w:t xml:space="preserve"> Приказ о провед</w:t>
      </w:r>
      <w:r w:rsidR="004C46BA">
        <w:rPr>
          <w:sz w:val="24"/>
          <w:szCs w:val="24"/>
        </w:rPr>
        <w:t>ении закупки от 23.07.2013 № 322</w:t>
      </w:r>
      <w:r w:rsidR="00FC6E59" w:rsidRPr="005D176D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171FC1" w:rsidRDefault="00171FC1" w:rsidP="00171FC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</w:t>
      </w:r>
      <w:r>
        <w:rPr>
          <w:sz w:val="24"/>
        </w:rPr>
        <w:t>б</w:t>
      </w:r>
      <w:r w:rsidRPr="00D41111">
        <w:rPr>
          <w:sz w:val="24"/>
        </w:rPr>
        <w:t xml:space="preserve"> </w:t>
      </w:r>
      <w:r w:rsidRPr="00250917">
        <w:rPr>
          <w:sz w:val="24"/>
        </w:rPr>
        <w:t xml:space="preserve">отклонении предложения </w:t>
      </w:r>
      <w:r>
        <w:rPr>
          <w:sz w:val="24"/>
        </w:rPr>
        <w:t>ООО «Юнит» г. Хабаровск</w:t>
      </w:r>
    </w:p>
    <w:p w:rsidR="00171FC1" w:rsidRPr="00D41111" w:rsidRDefault="00171FC1" w:rsidP="00171FC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r w:rsidRPr="00D41111">
        <w:rPr>
          <w:sz w:val="24"/>
        </w:rPr>
        <w:t xml:space="preserve">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171FC1" w:rsidRPr="00D41111" w:rsidRDefault="00171FC1" w:rsidP="00171FC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171FC1" w:rsidRPr="00D41111" w:rsidRDefault="00171FC1" w:rsidP="00171FC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171FC1" w:rsidRPr="00D4111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Pr="00250917" w:rsidRDefault="00171FC1" w:rsidP="00171FC1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>
        <w:rPr>
          <w:b/>
          <w:i/>
          <w:snapToGrid/>
          <w:sz w:val="24"/>
          <w:szCs w:val="24"/>
        </w:rPr>
        <w:t>ООО «Юнит»</w:t>
      </w:r>
      <w:r w:rsidRPr="00250917">
        <w:rPr>
          <w:b/>
          <w:i/>
          <w:snapToGrid/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250917">
        <w:rPr>
          <w:b/>
          <w:i/>
          <w:sz w:val="24"/>
          <w:szCs w:val="24"/>
        </w:rPr>
        <w:t>»</w:t>
      </w:r>
    </w:p>
    <w:p w:rsidR="00171FC1" w:rsidRPr="00250917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250917" w:rsidRDefault="00171FC1" w:rsidP="00171FC1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171FC1" w:rsidRPr="00250917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250917" w:rsidRDefault="00171FC1" w:rsidP="00171FC1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171FC1" w:rsidRDefault="00171FC1" w:rsidP="00171FC1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65D7B">
        <w:rPr>
          <w:sz w:val="24"/>
          <w:szCs w:val="24"/>
        </w:rPr>
        <w:t xml:space="preserve">Сводное заключение экспертов </w:t>
      </w:r>
      <w:proofErr w:type="spellStart"/>
      <w:r w:rsidRPr="00465D7B">
        <w:rPr>
          <w:sz w:val="24"/>
          <w:szCs w:val="24"/>
        </w:rPr>
        <w:t>Моториной</w:t>
      </w:r>
      <w:proofErr w:type="spellEnd"/>
      <w:r w:rsidRPr="00465D7B">
        <w:rPr>
          <w:sz w:val="24"/>
          <w:szCs w:val="24"/>
        </w:rPr>
        <w:t xml:space="preserve"> О.А., </w:t>
      </w:r>
      <w:proofErr w:type="spellStart"/>
      <w:r w:rsidRPr="00465D7B">
        <w:rPr>
          <w:sz w:val="24"/>
          <w:szCs w:val="24"/>
        </w:rPr>
        <w:t>Голота</w:t>
      </w:r>
      <w:proofErr w:type="spellEnd"/>
      <w:r w:rsidRPr="00465D7B">
        <w:rPr>
          <w:sz w:val="24"/>
          <w:szCs w:val="24"/>
        </w:rPr>
        <w:t xml:space="preserve"> М.Н. </w:t>
      </w:r>
    </w:p>
    <w:p w:rsidR="00171FC1" w:rsidRPr="00465D7B" w:rsidRDefault="00171FC1" w:rsidP="00171FC1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65D7B">
        <w:rPr>
          <w:sz w:val="24"/>
          <w:szCs w:val="24"/>
        </w:rPr>
        <w:t>Предложение участника.</w:t>
      </w:r>
    </w:p>
    <w:p w:rsidR="00171FC1" w:rsidRPr="00250917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250917" w:rsidRDefault="00171FC1" w:rsidP="00171FC1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171FC1" w:rsidRPr="00250917" w:rsidRDefault="00171FC1" w:rsidP="00171FC1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>
        <w:rPr>
          <w:b/>
          <w:i/>
          <w:sz w:val="24"/>
          <w:szCs w:val="24"/>
        </w:rPr>
        <w:t>ООО «Юнит»</w:t>
      </w:r>
      <w:r w:rsidRPr="00250917">
        <w:rPr>
          <w:b/>
          <w:i/>
          <w:sz w:val="24"/>
          <w:szCs w:val="24"/>
        </w:rPr>
        <w:t xml:space="preserve"> г. </w:t>
      </w:r>
      <w:r>
        <w:rPr>
          <w:b/>
          <w:i/>
          <w:sz w:val="24"/>
          <w:szCs w:val="24"/>
        </w:rPr>
        <w:t>Хабаровск</w:t>
      </w:r>
      <w:r w:rsidRPr="00250917">
        <w:rPr>
          <w:b/>
          <w:i/>
          <w:sz w:val="24"/>
          <w:szCs w:val="24"/>
        </w:rPr>
        <w:t xml:space="preserve">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171FC1" w:rsidRDefault="00171FC1" w:rsidP="00171FC1">
      <w:pPr>
        <w:pStyle w:val="a5"/>
        <w:numPr>
          <w:ilvl w:val="0"/>
          <w:numId w:val="21"/>
        </w:num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Заявка </w:t>
      </w:r>
      <w:r>
        <w:rPr>
          <w:bCs/>
          <w:sz w:val="24"/>
          <w:szCs w:val="24"/>
        </w:rPr>
        <w:t>Участника не содержит документов, требуемых в соответствии с условиями Закупочной документации, что является поводом к отклонению заявки Участника от рассмотрения (пункт 2.8.2.2</w:t>
      </w:r>
      <w:r w:rsidRPr="00236C6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подпункт </w:t>
      </w:r>
      <w:r>
        <w:rPr>
          <w:bCs/>
          <w:sz w:val="24"/>
          <w:szCs w:val="24"/>
          <w:lang w:val="en-US"/>
        </w:rPr>
        <w:t>d</w:t>
      </w:r>
      <w:r w:rsidRPr="00076CC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236C68">
        <w:rPr>
          <w:bCs/>
          <w:sz w:val="24"/>
          <w:szCs w:val="24"/>
        </w:rPr>
        <w:t>ра</w:t>
      </w:r>
      <w:r>
        <w:rPr>
          <w:bCs/>
          <w:sz w:val="24"/>
          <w:szCs w:val="24"/>
        </w:rPr>
        <w:t>здела 2 Закупочной документации</w:t>
      </w:r>
      <w:r w:rsidRPr="00076CC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 Заявка участника не содержит документы в соответствии с пунктом 4.1.17 подпункты 3, 4, 5, 6, 10.1, 10.2, 10.3.</w:t>
      </w:r>
    </w:p>
    <w:p w:rsidR="00171FC1" w:rsidRDefault="00171FC1" w:rsidP="00171FC1">
      <w:pPr>
        <w:pStyle w:val="a5"/>
        <w:spacing w:line="240" w:lineRule="auto"/>
        <w:ind w:left="927" w:firstLine="0"/>
        <w:rPr>
          <w:bCs/>
          <w:sz w:val="24"/>
          <w:szCs w:val="24"/>
        </w:rPr>
      </w:pPr>
    </w:p>
    <w:p w:rsidR="00171FC1" w:rsidRDefault="00171FC1" w:rsidP="00171FC1">
      <w:pPr>
        <w:pStyle w:val="a5"/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1 - Раздел 4 Информационная карта запроса предложений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7630"/>
      </w:tblGrid>
      <w:tr w:rsidR="00952346" w:rsidTr="0095234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46" w:rsidRDefault="00952346">
            <w:pPr>
              <w:pStyle w:val="Tabletext"/>
              <w:spacing w:line="276" w:lineRule="auto"/>
              <w:jc w:val="left"/>
              <w:rPr>
                <w:b/>
                <w:color w:val="000000"/>
                <w:sz w:val="24"/>
                <w:u w:val="single"/>
                <w:lang w:eastAsia="en-US"/>
              </w:rPr>
            </w:pPr>
            <w:r>
              <w:rPr>
                <w:b/>
                <w:color w:val="000000"/>
                <w:sz w:val="24"/>
                <w:u w:val="single"/>
                <w:lang w:eastAsia="en-US"/>
              </w:rPr>
              <w:lastRenderedPageBreak/>
              <w:t>Пункт 4.1.17.</w:t>
            </w:r>
          </w:p>
          <w:p w:rsidR="00952346" w:rsidRDefault="00952346">
            <w:pPr>
              <w:pStyle w:val="Tabletext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Требования к документам, подтверждающим соответствие Участника установленным требованиям и </w:t>
            </w:r>
            <w:r>
              <w:rPr>
                <w:sz w:val="24"/>
                <w:lang w:eastAsia="en-US"/>
              </w:rPr>
              <w:t>входящие в состав Предложения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12" w:firstLine="55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 Техническое предложение</w:t>
            </w:r>
            <w:r>
              <w:rPr>
                <w:sz w:val="24"/>
                <w:szCs w:val="24"/>
                <w:lang w:eastAsia="en-US"/>
              </w:rPr>
              <w:t xml:space="preserve"> на выполнения работ (оказание услуг) (форма 3) по форме и в соответствии с инструкциями, приведенными в настоящей Документации по запросу предложений </w:t>
            </w:r>
          </w:p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12" w:firstLine="559"/>
              <w:rPr>
                <w:b/>
                <w:sz w:val="24"/>
                <w:szCs w:val="24"/>
                <w:lang w:eastAsia="en-US"/>
              </w:rPr>
            </w:pPr>
          </w:p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12" w:firstLine="55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 График выполнения работ</w:t>
            </w:r>
            <w:r>
              <w:rPr>
                <w:sz w:val="24"/>
                <w:szCs w:val="24"/>
                <w:lang w:eastAsia="en-US"/>
              </w:rPr>
              <w:t xml:space="preserve"> (оказание услуг) (форма 4) по форме и в соответствии с инструкциями, приведенными в настоящей Документации по запросу предложений </w:t>
            </w:r>
          </w:p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12" w:firstLine="559"/>
              <w:rPr>
                <w:b/>
                <w:sz w:val="24"/>
                <w:szCs w:val="24"/>
                <w:lang w:eastAsia="en-US"/>
              </w:rPr>
            </w:pPr>
          </w:p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12" w:firstLine="55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 Таблица стоимости работ</w:t>
            </w:r>
            <w:r>
              <w:rPr>
                <w:sz w:val="24"/>
                <w:szCs w:val="24"/>
                <w:lang w:eastAsia="en-US"/>
              </w:rPr>
              <w:t xml:space="preserve"> (форма 5) по форме и в соответствии с инструкциями, приведенными в настоящей Документации по запросу предложений </w:t>
            </w:r>
          </w:p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4" w:firstLine="567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  График оплаты выполнения работ</w:t>
            </w:r>
            <w:r>
              <w:rPr>
                <w:sz w:val="24"/>
                <w:szCs w:val="24"/>
                <w:lang w:eastAsia="en-US"/>
              </w:rPr>
              <w:t xml:space="preserve"> (оказание услуг) (форма 6) по форме и в соответствии с инструкциями, приведенными в настоящей Документации по запросу предложений </w:t>
            </w:r>
          </w:p>
          <w:p w:rsidR="00952346" w:rsidRDefault="00952346">
            <w:pPr>
              <w:pStyle w:val="af0"/>
              <w:tabs>
                <w:tab w:val="left" w:pos="708"/>
              </w:tabs>
              <w:spacing w:line="240" w:lineRule="auto"/>
              <w:ind w:left="1393" w:firstLine="0"/>
              <w:rPr>
                <w:sz w:val="24"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429"/>
              <w:rPr>
                <w:b/>
                <w:vanish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10.1 </w:t>
            </w: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5"/>
              <w:spacing w:line="240" w:lineRule="auto"/>
              <w:ind w:left="0" w:firstLine="559"/>
              <w:rPr>
                <w:vanish/>
                <w:szCs w:val="24"/>
                <w:lang w:eastAsia="en-US"/>
              </w:rPr>
            </w:pPr>
          </w:p>
          <w:p w:rsidR="00952346" w:rsidRDefault="00952346">
            <w:pPr>
              <w:pStyle w:val="af0"/>
              <w:tabs>
                <w:tab w:val="num" w:pos="721"/>
              </w:tabs>
              <w:spacing w:line="240" w:lineRule="auto"/>
              <w:ind w:left="0" w:firstLine="559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оригинал справки о выполнении аналогичных</w:t>
            </w:r>
            <w:r>
              <w:rPr>
                <w:sz w:val="24"/>
                <w:szCs w:val="24"/>
                <w:lang w:eastAsia="en-US"/>
              </w:rPr>
              <w:t xml:space="preserve"> (сопоставимых) по характеру и объему оказываемых договоров по установленной в настоящей Документации по запросу предложений форме — Справка о перечне и годовых объемов выполнения аналогичных договоров (форма 8);</w:t>
            </w:r>
            <w:proofErr w:type="gramEnd"/>
          </w:p>
          <w:p w:rsidR="00952346" w:rsidRDefault="00952346">
            <w:pPr>
              <w:pStyle w:val="af0"/>
              <w:tabs>
                <w:tab w:val="num" w:pos="721"/>
              </w:tabs>
              <w:spacing w:line="240" w:lineRule="auto"/>
              <w:ind w:left="0" w:firstLine="55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10.2 оригинал справки о материально-технических ресурсах</w:t>
            </w:r>
            <w:r>
              <w:rPr>
                <w:sz w:val="24"/>
                <w:szCs w:val="24"/>
                <w:lang w:eastAsia="en-US"/>
              </w:rPr>
              <w:t>, которые будут использованы в рамках выполнения Договора по установленной в настоящей Документации по запросу предложений форме — Справка  о материально-технических ресурсах (форма 9);</w:t>
            </w:r>
          </w:p>
          <w:p w:rsidR="00952346" w:rsidRDefault="00952346">
            <w:pPr>
              <w:pStyle w:val="af0"/>
              <w:tabs>
                <w:tab w:val="num" w:pos="721"/>
              </w:tabs>
              <w:spacing w:line="240" w:lineRule="auto"/>
              <w:ind w:left="0" w:firstLine="55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10.3 оригинал справки о кадровых ресурсах</w:t>
            </w:r>
            <w:r>
              <w:rPr>
                <w:sz w:val="24"/>
                <w:szCs w:val="24"/>
                <w:lang w:eastAsia="en-US"/>
              </w:rPr>
              <w:t>, которые будут привлечены в ходе выполнения Договора, по установленной в настоящей Документации по запросу предложений форме — Справка о кадровых ресурсах (форма 10)</w:t>
            </w:r>
          </w:p>
        </w:tc>
      </w:tr>
    </w:tbl>
    <w:p w:rsidR="00171FC1" w:rsidRPr="00DC72A8" w:rsidRDefault="00171FC1" w:rsidP="00171FC1">
      <w:pPr>
        <w:spacing w:line="240" w:lineRule="auto"/>
        <w:ind w:firstLine="0"/>
        <w:rPr>
          <w:bCs/>
          <w:sz w:val="24"/>
          <w:szCs w:val="24"/>
        </w:rPr>
      </w:pPr>
      <w:bookmarkStart w:id="0" w:name="_GoBack"/>
      <w:bookmarkEnd w:id="0"/>
    </w:p>
    <w:p w:rsidR="00171FC1" w:rsidRPr="00DC72A8" w:rsidRDefault="00171FC1" w:rsidP="00171FC1">
      <w:pPr>
        <w:pStyle w:val="a4"/>
        <w:widowControl w:val="0"/>
        <w:numPr>
          <w:ilvl w:val="0"/>
          <w:numId w:val="21"/>
        </w:numPr>
        <w:spacing w:before="0" w:line="240" w:lineRule="auto"/>
        <w:rPr>
          <w:sz w:val="24"/>
        </w:rPr>
      </w:pPr>
      <w:r>
        <w:rPr>
          <w:sz w:val="24"/>
        </w:rPr>
        <w:t>Участник не предоставил информацию о ресурсных возможностях, опыте работы, порядке оплаты, в связи с чем, дать объективную оценку потенциала и привлекательности данного претендента не представляется возможным.</w:t>
      </w:r>
    </w:p>
    <w:p w:rsidR="00171FC1" w:rsidRPr="00076CC7" w:rsidRDefault="00171FC1" w:rsidP="00171FC1">
      <w:pPr>
        <w:pStyle w:val="a5"/>
        <w:spacing w:line="240" w:lineRule="auto"/>
        <w:ind w:left="927" w:firstLine="0"/>
        <w:rPr>
          <w:bCs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71FC1" w:rsidRPr="00D41111" w:rsidRDefault="00171FC1" w:rsidP="00171FC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171FC1" w:rsidRPr="00D41111" w:rsidRDefault="00171FC1" w:rsidP="00171FC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</w:t>
      </w:r>
      <w:r>
        <w:rPr>
          <w:sz w:val="24"/>
          <w:szCs w:val="24"/>
        </w:rPr>
        <w:t xml:space="preserve">, </w:t>
      </w:r>
      <w:r w:rsidRPr="00687052">
        <w:rPr>
          <w:b/>
          <w:i/>
          <w:sz w:val="24"/>
          <w:szCs w:val="24"/>
        </w:rPr>
        <w:t>ОАО «</w:t>
      </w:r>
      <w:proofErr w:type="spellStart"/>
      <w:r w:rsidRPr="00687052">
        <w:rPr>
          <w:b/>
          <w:i/>
          <w:sz w:val="24"/>
          <w:szCs w:val="24"/>
        </w:rPr>
        <w:t>Дальтехэнерго</w:t>
      </w:r>
      <w:proofErr w:type="spellEnd"/>
      <w:r w:rsidRPr="00687052">
        <w:rPr>
          <w:b/>
          <w:i/>
          <w:sz w:val="24"/>
          <w:szCs w:val="24"/>
        </w:rPr>
        <w:t>»  г</w:t>
      </w:r>
      <w:r w:rsidRPr="003D6EE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Владивосток, </w:t>
      </w:r>
      <w:r w:rsidRPr="00687052">
        <w:rPr>
          <w:b/>
          <w:i/>
          <w:sz w:val="24"/>
          <w:szCs w:val="24"/>
        </w:rPr>
        <w:t>ИП Ким И.Н. г. Комсомольск-на-Амуре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171FC1" w:rsidRPr="00D41111" w:rsidRDefault="00171FC1" w:rsidP="00171FC1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71FC1" w:rsidRPr="00D41111" w:rsidRDefault="00171FC1" w:rsidP="00171FC1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171FC1" w:rsidRPr="00D41111" w:rsidRDefault="00171FC1" w:rsidP="00171FC1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171FC1" w:rsidRPr="00D41111" w:rsidRDefault="00171FC1" w:rsidP="00171FC1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</w:p>
    <w:p w:rsidR="00171FC1" w:rsidRPr="00D41111" w:rsidRDefault="00171FC1" w:rsidP="00171FC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71FC1" w:rsidRDefault="00171FC1" w:rsidP="00171FC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171FC1" w:rsidRPr="00465D7B" w:rsidRDefault="00171FC1" w:rsidP="00171FC1">
      <w:pPr>
        <w:tabs>
          <w:tab w:val="num" w:pos="142"/>
          <w:tab w:val="num" w:pos="851"/>
        </w:tabs>
        <w:spacing w:line="240" w:lineRule="auto"/>
        <w:rPr>
          <w:sz w:val="24"/>
          <w:szCs w:val="24"/>
          <w:u w:val="single"/>
        </w:rPr>
      </w:pPr>
      <w:r w:rsidRPr="00465D7B">
        <w:rPr>
          <w:b/>
          <w:bCs/>
          <w:i/>
          <w:sz w:val="24"/>
          <w:szCs w:val="24"/>
          <w:u w:val="single"/>
        </w:rPr>
        <w:t>Лот 1 (закупка 1405) - Капитальный ремонт ПС НПЗ, ПС ГВФ, ПС Южная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3 312 752,0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(3 909 047,36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2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14.10.2013 г.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687052">
        <w:rPr>
          <w:b/>
          <w:i/>
          <w:sz w:val="24"/>
          <w:szCs w:val="24"/>
        </w:rPr>
        <w:t>ОАО «</w:t>
      </w:r>
      <w:proofErr w:type="spellStart"/>
      <w:r w:rsidRPr="00687052">
        <w:rPr>
          <w:b/>
          <w:i/>
          <w:sz w:val="24"/>
          <w:szCs w:val="24"/>
        </w:rPr>
        <w:t>Дальтехэнерго</w:t>
      </w:r>
      <w:proofErr w:type="spellEnd"/>
      <w:r w:rsidRPr="00687052">
        <w:rPr>
          <w:b/>
          <w:i/>
          <w:sz w:val="24"/>
          <w:szCs w:val="24"/>
        </w:rPr>
        <w:t>»  г</w:t>
      </w:r>
      <w:r w:rsidRPr="003D6EE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3 504 215,0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(4 134 973,7 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сентябрь – октябрь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2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12.10.2013 г.</w:t>
      </w:r>
    </w:p>
    <w:p w:rsidR="00171FC1" w:rsidRPr="00462469" w:rsidRDefault="00171FC1" w:rsidP="00171FC1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462469">
        <w:rPr>
          <w:b/>
          <w:i/>
          <w:sz w:val="24"/>
          <w:szCs w:val="24"/>
          <w:u w:val="single"/>
        </w:rPr>
        <w:t>Лот 2 (закупка 1406) -</w:t>
      </w:r>
      <w:r w:rsidRPr="00462469">
        <w:rPr>
          <w:sz w:val="24"/>
          <w:szCs w:val="24"/>
          <w:u w:val="single"/>
        </w:rPr>
        <w:t xml:space="preserve">  </w:t>
      </w:r>
      <w:r w:rsidRPr="00462469">
        <w:rPr>
          <w:b/>
          <w:bCs/>
          <w:i/>
          <w:sz w:val="24"/>
          <w:szCs w:val="24"/>
          <w:u w:val="single"/>
        </w:rPr>
        <w:t xml:space="preserve">Капитальный ремонт зданий: ПС </w:t>
      </w:r>
      <w:proofErr w:type="gramStart"/>
      <w:r w:rsidRPr="00462469">
        <w:rPr>
          <w:b/>
          <w:bCs/>
          <w:i/>
          <w:sz w:val="24"/>
          <w:szCs w:val="24"/>
          <w:u w:val="single"/>
        </w:rPr>
        <w:t>Западная</w:t>
      </w:r>
      <w:proofErr w:type="gramEnd"/>
      <w:r w:rsidRPr="00462469">
        <w:rPr>
          <w:b/>
          <w:bCs/>
          <w:i/>
          <w:sz w:val="24"/>
          <w:szCs w:val="24"/>
          <w:u w:val="single"/>
        </w:rPr>
        <w:t>, мастерской МСГИ</w:t>
      </w:r>
      <w:r w:rsidRPr="00462469">
        <w:rPr>
          <w:b/>
          <w:i/>
          <w:color w:val="000000"/>
          <w:sz w:val="24"/>
          <w:szCs w:val="24"/>
          <w:u w:val="single"/>
        </w:rPr>
        <w:t>.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2 664 189,0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(3 143 743,02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30.10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3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14.10.2013 г.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687052">
        <w:rPr>
          <w:b/>
          <w:i/>
          <w:sz w:val="24"/>
          <w:szCs w:val="24"/>
        </w:rPr>
        <w:t>ОАО «</w:t>
      </w:r>
      <w:proofErr w:type="spellStart"/>
      <w:r w:rsidRPr="00687052">
        <w:rPr>
          <w:b/>
          <w:i/>
          <w:sz w:val="24"/>
          <w:szCs w:val="24"/>
        </w:rPr>
        <w:t>Дальтехэнерго</w:t>
      </w:r>
      <w:proofErr w:type="spellEnd"/>
      <w:r w:rsidRPr="00687052">
        <w:rPr>
          <w:b/>
          <w:i/>
          <w:sz w:val="24"/>
          <w:szCs w:val="24"/>
        </w:rPr>
        <w:t>»  г</w:t>
      </w:r>
      <w:r w:rsidRPr="003D6EE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2 672 360,0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(3 153 384,8 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сентябрь – ноябрь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3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12.10.2013 г.</w:t>
      </w:r>
    </w:p>
    <w:p w:rsidR="00171FC1" w:rsidRPr="00F32594" w:rsidRDefault="00171FC1" w:rsidP="00171FC1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687052">
        <w:rPr>
          <w:b/>
          <w:i/>
          <w:sz w:val="24"/>
          <w:szCs w:val="24"/>
        </w:rPr>
        <w:t>ИП Ким И.Н. г. Комсомольск-на-Амуре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2 822 952,0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сентябрь – ноябрь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171FC1" w:rsidRDefault="00171FC1" w:rsidP="00171FC1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171FC1" w:rsidRPr="00CD50E7" w:rsidRDefault="00171FC1" w:rsidP="00171FC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171FC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Pr="00EB11FE" w:rsidRDefault="00171FC1" w:rsidP="00171FC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171FC1" w:rsidRDefault="00171FC1" w:rsidP="00171FC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лоту № 2.</w:t>
      </w:r>
    </w:p>
    <w:p w:rsidR="00171FC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Default="00171FC1" w:rsidP="00171FC1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171FC1" w:rsidRDefault="00171FC1" w:rsidP="00171FC1">
      <w:pPr>
        <w:spacing w:line="240" w:lineRule="auto"/>
        <w:ind w:firstLine="0"/>
        <w:rPr>
          <w:b/>
          <w:sz w:val="24"/>
          <w:szCs w:val="24"/>
        </w:rPr>
      </w:pPr>
    </w:p>
    <w:p w:rsidR="00171FC1" w:rsidRPr="00462469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 w:rsidRPr="00462469">
        <w:rPr>
          <w:sz w:val="24"/>
          <w:szCs w:val="24"/>
        </w:rPr>
        <w:t>ООО «Юнит» г. Хабаровск</w:t>
      </w:r>
      <w:r>
        <w:rPr>
          <w:sz w:val="24"/>
          <w:szCs w:val="24"/>
        </w:rPr>
        <w:t xml:space="preserve"> не соответствующим</w:t>
      </w:r>
      <w:r w:rsidRPr="00D35956">
        <w:rPr>
          <w:sz w:val="24"/>
          <w:szCs w:val="24"/>
        </w:rPr>
        <w:t xml:space="preserve"> условиям закупки. </w:t>
      </w:r>
    </w:p>
    <w:p w:rsidR="00171FC1" w:rsidRPr="00D35956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462469">
        <w:rPr>
          <w:sz w:val="24"/>
          <w:szCs w:val="24"/>
        </w:rPr>
        <w:t>ООО «</w:t>
      </w:r>
      <w:proofErr w:type="spellStart"/>
      <w:r w:rsidRPr="00462469">
        <w:rPr>
          <w:sz w:val="24"/>
          <w:szCs w:val="24"/>
        </w:rPr>
        <w:t>РемСтройЦентр</w:t>
      </w:r>
      <w:proofErr w:type="spellEnd"/>
      <w:r w:rsidRPr="00462469">
        <w:rPr>
          <w:sz w:val="24"/>
          <w:szCs w:val="24"/>
        </w:rPr>
        <w:t>» г. Хабаровск, ОАО «</w:t>
      </w:r>
      <w:proofErr w:type="spellStart"/>
      <w:r w:rsidRPr="00462469">
        <w:rPr>
          <w:sz w:val="24"/>
          <w:szCs w:val="24"/>
        </w:rPr>
        <w:t>Дальтехэнерго</w:t>
      </w:r>
      <w:proofErr w:type="spellEnd"/>
      <w:r w:rsidRPr="00462469">
        <w:rPr>
          <w:sz w:val="24"/>
          <w:szCs w:val="24"/>
        </w:rPr>
        <w:t>»  г. Владивосток, ИП Ким И.Н. г. Комсомольск-на-Амуре</w:t>
      </w:r>
      <w:r w:rsidRPr="00E95CA2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171FC1" w:rsidRPr="003C3755" w:rsidRDefault="00171FC1" w:rsidP="00171FC1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E95CA2">
        <w:rPr>
          <w:sz w:val="24"/>
          <w:szCs w:val="24"/>
        </w:rPr>
        <w:t>ООО «</w:t>
      </w:r>
      <w:proofErr w:type="spellStart"/>
      <w:r w:rsidRPr="00E95CA2">
        <w:rPr>
          <w:sz w:val="24"/>
          <w:szCs w:val="24"/>
        </w:rPr>
        <w:t>РемСтройЦентр</w:t>
      </w:r>
      <w:proofErr w:type="spellEnd"/>
      <w:r w:rsidRPr="00E95CA2">
        <w:rPr>
          <w:sz w:val="24"/>
          <w:szCs w:val="24"/>
        </w:rPr>
        <w:t>» г. Хабаровск</w:t>
      </w:r>
      <w:r w:rsidRPr="00CE489C">
        <w:rPr>
          <w:sz w:val="24"/>
          <w:szCs w:val="24"/>
        </w:rPr>
        <w:t xml:space="preserve"> 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462469">
        <w:rPr>
          <w:sz w:val="24"/>
          <w:szCs w:val="24"/>
        </w:rPr>
        <w:t>ОАО «</w:t>
      </w:r>
      <w:proofErr w:type="spellStart"/>
      <w:r w:rsidRPr="00462469">
        <w:rPr>
          <w:sz w:val="24"/>
          <w:szCs w:val="24"/>
        </w:rPr>
        <w:t>Дальтехэнерго</w:t>
      </w:r>
      <w:proofErr w:type="spellEnd"/>
      <w:r w:rsidRPr="00462469">
        <w:rPr>
          <w:sz w:val="24"/>
          <w:szCs w:val="24"/>
        </w:rPr>
        <w:t>»  г. Владивосток</w:t>
      </w:r>
    </w:p>
    <w:p w:rsidR="00171FC1" w:rsidRDefault="00171FC1" w:rsidP="00171FC1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2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E95CA2">
        <w:rPr>
          <w:sz w:val="24"/>
          <w:szCs w:val="24"/>
        </w:rPr>
        <w:t>ООО «</w:t>
      </w:r>
      <w:proofErr w:type="spellStart"/>
      <w:r w:rsidRPr="00E95CA2">
        <w:rPr>
          <w:sz w:val="24"/>
          <w:szCs w:val="24"/>
        </w:rPr>
        <w:t>РемСтройЦентр</w:t>
      </w:r>
      <w:proofErr w:type="spellEnd"/>
      <w:r w:rsidRPr="00E95CA2">
        <w:rPr>
          <w:sz w:val="24"/>
          <w:szCs w:val="24"/>
        </w:rPr>
        <w:t>» г. Хабаровск</w:t>
      </w:r>
      <w:r w:rsidRPr="00CE489C">
        <w:rPr>
          <w:sz w:val="24"/>
          <w:szCs w:val="24"/>
        </w:rPr>
        <w:t xml:space="preserve"> 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462469">
        <w:rPr>
          <w:sz w:val="24"/>
          <w:szCs w:val="24"/>
        </w:rPr>
        <w:t>ОАО «</w:t>
      </w:r>
      <w:proofErr w:type="spellStart"/>
      <w:r w:rsidRPr="00462469">
        <w:rPr>
          <w:sz w:val="24"/>
          <w:szCs w:val="24"/>
        </w:rPr>
        <w:t>Дальтехэнерго</w:t>
      </w:r>
      <w:proofErr w:type="spellEnd"/>
      <w:r w:rsidRPr="00462469">
        <w:rPr>
          <w:sz w:val="24"/>
          <w:szCs w:val="24"/>
        </w:rPr>
        <w:t>»  г. Владивосток</w:t>
      </w:r>
    </w:p>
    <w:p w:rsidR="00171FC1" w:rsidRDefault="00171FC1" w:rsidP="00171FC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 w:rsidRPr="00462469">
        <w:rPr>
          <w:sz w:val="24"/>
          <w:szCs w:val="24"/>
        </w:rPr>
        <w:t>ИП Ким И.Н. г. Комсомольск-на-Амуре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лоту № 2</w:t>
      </w:r>
      <w:r w:rsidRPr="00A45ABA">
        <w:rPr>
          <w:sz w:val="24"/>
          <w:szCs w:val="24"/>
        </w:rPr>
        <w:t>.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462469">
        <w:rPr>
          <w:sz w:val="24"/>
          <w:szCs w:val="24"/>
        </w:rPr>
        <w:t>ООО «</w:t>
      </w:r>
      <w:proofErr w:type="spellStart"/>
      <w:r w:rsidRPr="00462469">
        <w:rPr>
          <w:sz w:val="24"/>
          <w:szCs w:val="24"/>
        </w:rPr>
        <w:t>РемСтройЦентр</w:t>
      </w:r>
      <w:proofErr w:type="spellEnd"/>
      <w:r w:rsidRPr="00462469">
        <w:rPr>
          <w:sz w:val="24"/>
          <w:szCs w:val="24"/>
        </w:rPr>
        <w:t>» г. Хабаровск, ОАО «</w:t>
      </w:r>
      <w:proofErr w:type="spellStart"/>
      <w:r w:rsidRPr="00462469">
        <w:rPr>
          <w:sz w:val="24"/>
          <w:szCs w:val="24"/>
        </w:rPr>
        <w:t>Дальтехэнерго</w:t>
      </w:r>
      <w:proofErr w:type="spellEnd"/>
      <w:r w:rsidRPr="00462469">
        <w:rPr>
          <w:sz w:val="24"/>
          <w:szCs w:val="24"/>
        </w:rPr>
        <w:t>»  г. Владивосток, ИП Ким И.Н. г. Комсомольск-на-Амуре</w:t>
      </w:r>
      <w:r w:rsidRPr="00E95CA2">
        <w:rPr>
          <w:sz w:val="24"/>
          <w:szCs w:val="24"/>
        </w:rPr>
        <w:t xml:space="preserve"> </w:t>
      </w:r>
    </w:p>
    <w:p w:rsidR="00171FC1" w:rsidRPr="00E95CA2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27.08.2013 в 09</w:t>
      </w:r>
      <w:r w:rsidRPr="003C3755">
        <w:rPr>
          <w:sz w:val="24"/>
          <w:szCs w:val="24"/>
        </w:rPr>
        <w:t>:00 благовещенского времени.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171FC1" w:rsidRDefault="00171FC1" w:rsidP="00171FC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C46BA" w:rsidRDefault="004C46BA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Pr="00CD50E7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4C46BA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4C46BA">
        <w:rPr>
          <w:sz w:val="24"/>
          <w:szCs w:val="24"/>
        </w:rPr>
        <w:t>О.А.Моторина</w:t>
      </w:r>
      <w:proofErr w:type="spellEnd"/>
    </w:p>
    <w:p w:rsidR="004C46BA" w:rsidRDefault="004C46BA" w:rsidP="003C3755">
      <w:pPr>
        <w:spacing w:line="240" w:lineRule="auto"/>
        <w:ind w:firstLine="0"/>
        <w:rPr>
          <w:sz w:val="24"/>
          <w:szCs w:val="24"/>
        </w:rPr>
      </w:pPr>
    </w:p>
    <w:p w:rsidR="00171FC1" w:rsidRDefault="00171FC1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4C46BA">
      <w:footerReference w:type="default" r:id="rId9"/>
      <w:pgSz w:w="11906" w:h="16838"/>
      <w:pgMar w:top="1134" w:right="850" w:bottom="1134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5A" w:rsidRDefault="0067555A" w:rsidP="00E2330B">
      <w:pPr>
        <w:spacing w:line="240" w:lineRule="auto"/>
      </w:pPr>
      <w:r>
        <w:separator/>
      </w:r>
    </w:p>
  </w:endnote>
  <w:endnote w:type="continuationSeparator" w:id="0">
    <w:p w:rsidR="0067555A" w:rsidRDefault="0067555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346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5A" w:rsidRDefault="0067555A" w:rsidP="00E2330B">
      <w:pPr>
        <w:spacing w:line="240" w:lineRule="auto"/>
      </w:pPr>
      <w:r>
        <w:separator/>
      </w:r>
    </w:p>
  </w:footnote>
  <w:footnote w:type="continuationSeparator" w:id="0">
    <w:p w:rsidR="0067555A" w:rsidRDefault="0067555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8F611F"/>
    <w:multiLevelType w:val="hybridMultilevel"/>
    <w:tmpl w:val="E1B437A2"/>
    <w:lvl w:ilvl="0" w:tplc="168E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1FC1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C46BA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555A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2346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CDA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054F7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2013-08-28T23:50:00Z</cp:lastPrinted>
  <dcterms:created xsi:type="dcterms:W3CDTF">2013-08-06T23:56:00Z</dcterms:created>
  <dcterms:modified xsi:type="dcterms:W3CDTF">2013-08-28T23:52:00Z</dcterms:modified>
</cp:coreProperties>
</file>