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B56455">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FC6FF6">
            <w:pPr>
              <w:jc w:val="center"/>
              <w:rPr>
                <w:b/>
                <w:bCs/>
                <w:sz w:val="26"/>
              </w:rPr>
            </w:pPr>
            <w:r>
              <w:rPr>
                <w:b/>
                <w:bCs/>
                <w:sz w:val="26"/>
              </w:rPr>
              <w:t xml:space="preserve">(закупка </w:t>
            </w:r>
            <w:r w:rsidR="00FC6FF6">
              <w:rPr>
                <w:b/>
                <w:bCs/>
                <w:sz w:val="26"/>
              </w:rPr>
              <w:t>170</w:t>
            </w:r>
            <w:r w:rsidR="00EE6008">
              <w:rPr>
                <w:b/>
                <w:bCs/>
                <w:sz w:val="26"/>
              </w:rPr>
              <w:t>)</w:t>
            </w:r>
          </w:p>
        </w:tc>
      </w:tr>
      <w:tr w:rsidR="00632049">
        <w:trPr>
          <w:tblCellSpacing w:w="7" w:type="dxa"/>
        </w:trPr>
        <w:tc>
          <w:tcPr>
            <w:tcW w:w="4985" w:type="pct"/>
            <w:shd w:val="clear" w:color="auto" w:fill="EFEFEF"/>
          </w:tcPr>
          <w:p w:rsidR="00632049" w:rsidRDefault="00632049" w:rsidP="00301B01">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301B01">
              <w:rPr>
                <w:b/>
                <w:bCs/>
                <w:sz w:val="26"/>
              </w:rPr>
              <w:t>26</w:t>
            </w:r>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9E1E1F" w:rsidRDefault="00EE6008" w:rsidP="00B31825">
      <w:pPr>
        <w:tabs>
          <w:tab w:val="left" w:pos="1276"/>
        </w:tabs>
        <w:ind w:firstLine="709"/>
        <w:jc w:val="both"/>
        <w:rPr>
          <w:i/>
        </w:rPr>
      </w:pPr>
      <w:r w:rsidRPr="009E1E1F">
        <w:rPr>
          <w:b/>
        </w:rPr>
        <w:t>Заказчик</w:t>
      </w:r>
      <w:r w:rsidRPr="009E1E1F">
        <w:t xml:space="preserve"> - ОАО «Дальневосточная распределительная сетевая компания» (ОАО «ДРСК»)</w:t>
      </w:r>
      <w:r w:rsidR="00E225BE" w:rsidRPr="009E1E1F">
        <w:t xml:space="preserve"> </w:t>
      </w:r>
      <w:r w:rsidRPr="009E1E1F">
        <w:t xml:space="preserve">извещает организации о проведении  открытого электронного запроса предложений (ОЗП ЭТП) по выбору поставщика на поставку: </w:t>
      </w:r>
      <w:r w:rsidR="00301B01">
        <w:rPr>
          <w:b/>
          <w:i/>
          <w:snapToGrid w:val="0"/>
        </w:rPr>
        <w:t>«</w:t>
      </w:r>
      <w:r w:rsidR="00301B01">
        <w:rPr>
          <w:b/>
          <w:bCs/>
          <w:i/>
          <w:snapToGrid w:val="0"/>
        </w:rPr>
        <w:t xml:space="preserve">Демисезонная </w:t>
      </w:r>
      <w:proofErr w:type="spellStart"/>
      <w:r w:rsidR="00301B01">
        <w:rPr>
          <w:b/>
          <w:bCs/>
          <w:i/>
          <w:snapToGrid w:val="0"/>
        </w:rPr>
        <w:t>спецо</w:t>
      </w:r>
      <w:r w:rsidR="00FC6FF6">
        <w:rPr>
          <w:b/>
          <w:bCs/>
          <w:i/>
          <w:snapToGrid w:val="0"/>
        </w:rPr>
        <w:t>бувь</w:t>
      </w:r>
      <w:proofErr w:type="spellEnd"/>
      <w:r w:rsidR="00301B01">
        <w:rPr>
          <w:b/>
          <w:bCs/>
          <w:i/>
          <w:snapToGrid w:val="0"/>
        </w:rPr>
        <w:t>» для нужд филиалов ОАО "ДРСК" «АЭС», «ПЭС», «ХЭС», «ЮЯЭС», «ЭСЕАО»</w:t>
      </w:r>
      <w:r w:rsidR="000E6036" w:rsidRPr="009E1E1F">
        <w:t>.</w:t>
      </w:r>
      <w:r w:rsidR="00A93E07" w:rsidRPr="009E1E1F">
        <w:rPr>
          <w:i/>
        </w:rPr>
        <w:t xml:space="preserve"> </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301B01">
        <w:rPr>
          <w:b/>
          <w:i/>
          <w:snapToGrid w:val="0"/>
        </w:rPr>
        <w:t>«</w:t>
      </w:r>
      <w:r w:rsidR="00301B01">
        <w:rPr>
          <w:b/>
          <w:bCs/>
          <w:i/>
          <w:snapToGrid w:val="0"/>
        </w:rPr>
        <w:t xml:space="preserve">Демисезонная </w:t>
      </w:r>
      <w:r w:rsidR="00B56455">
        <w:rPr>
          <w:b/>
          <w:bCs/>
          <w:i/>
          <w:snapToGrid w:val="0"/>
        </w:rPr>
        <w:t>спецобувь</w:t>
      </w:r>
      <w:bookmarkStart w:id="0" w:name="_GoBack"/>
      <w:bookmarkEnd w:id="0"/>
      <w:r w:rsidR="00301B01">
        <w:rPr>
          <w:b/>
          <w:bCs/>
          <w:i/>
          <w:snapToGrid w:val="0"/>
        </w:rPr>
        <w:t>» для нужд филиалов ОАО "ДРСК" «АЭС», «ПЭС», «ХЭС», «ЮЯЭС», «ЭСЕАО»</w:t>
      </w:r>
      <w:r w:rsidR="00567755" w:rsidRPr="009E1E1F">
        <w:t>.</w:t>
      </w:r>
      <w:r w:rsidR="00567755" w:rsidRPr="009E1E1F">
        <w:rPr>
          <w:i/>
        </w:rPr>
        <w:t xml:space="preserve"> </w:t>
      </w:r>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FC6FF6" w:rsidRPr="00FC6FF6">
        <w:rPr>
          <w:b/>
          <w:i/>
        </w:rPr>
        <w:t>6</w:t>
      </w:r>
      <w:r w:rsidR="00FC6FF6">
        <w:rPr>
          <w:b/>
          <w:i/>
        </w:rPr>
        <w:t> </w:t>
      </w:r>
      <w:r w:rsidR="00FC6FF6" w:rsidRPr="00FC6FF6">
        <w:rPr>
          <w:b/>
          <w:i/>
        </w:rPr>
        <w:t>580</w:t>
      </w:r>
      <w:r w:rsidR="00FC6FF6">
        <w:rPr>
          <w:b/>
          <w:i/>
        </w:rPr>
        <w:t> </w:t>
      </w:r>
      <w:r w:rsidR="00FC6FF6" w:rsidRPr="00FC6FF6">
        <w:rPr>
          <w:b/>
          <w:i/>
        </w:rPr>
        <w:t>000</w:t>
      </w:r>
      <w:r w:rsidR="00FC6FF6">
        <w:rPr>
          <w:b/>
          <w:i/>
        </w:rPr>
        <w:t>,00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301B01">
        <w:t>себестоимость</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w:t>
      </w:r>
      <w:r w:rsidR="00301B01">
        <w:rPr>
          <w:b/>
          <w:bCs/>
          <w:i/>
          <w:iCs/>
          <w:color w:val="0000FF"/>
        </w:rPr>
        <w:t>00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301B01">
        <w:rPr>
          <w:b/>
          <w:bCs/>
          <w:i/>
          <w:iCs/>
          <w:color w:val="0000FF"/>
        </w:rPr>
        <w:t>14</w:t>
      </w:r>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сканированном виде направляется  в адрес ответственного секретаря Закупочной комиссии в течение 24 часов после завершения закупочной процедуры в торговой </w:t>
      </w:r>
      <w:r w:rsidRPr="009E1E1F">
        <w:rPr>
          <w:color w:val="000000"/>
        </w:rPr>
        <w:lastRenderedPageBreak/>
        <w:t>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B56455" w:rsidP="006D1C60">
      <w:pPr>
        <w:pStyle w:val="a9"/>
        <w:tabs>
          <w:tab w:val="clear" w:pos="4677"/>
          <w:tab w:val="clear" w:pos="9355"/>
        </w:tabs>
      </w:pPr>
      <w:hyperlink r:id="rId11" w:history="1">
        <w:r w:rsidR="00B31825" w:rsidRPr="005153B0">
          <w:rPr>
            <w:rStyle w:val="a7"/>
            <w:sz w:val="20"/>
            <w:szCs w:val="20"/>
            <w:lang w:val="en-US"/>
          </w:rPr>
          <w:t>okzt</w:t>
        </w:r>
        <w:r w:rsidR="00B31825" w:rsidRPr="005153B0">
          <w:rPr>
            <w:rStyle w:val="a7"/>
            <w:sz w:val="20"/>
            <w:szCs w:val="20"/>
          </w:rPr>
          <w:t>7@</w:t>
        </w:r>
        <w:r w:rsidR="00B31825" w:rsidRPr="005153B0">
          <w:rPr>
            <w:rStyle w:val="a7"/>
            <w:sz w:val="20"/>
            <w:szCs w:val="20"/>
            <w:lang w:val="en-US"/>
          </w:rPr>
          <w:t>drsk</w:t>
        </w:r>
        <w:r w:rsidR="00B31825" w:rsidRPr="005153B0">
          <w:rPr>
            <w:rStyle w:val="a7"/>
            <w:sz w:val="20"/>
            <w:szCs w:val="20"/>
          </w:rPr>
          <w:t>.</w:t>
        </w:r>
        <w:proofErr w:type="spellStart"/>
        <w:r w:rsidR="00B31825" w:rsidRPr="005153B0">
          <w:rPr>
            <w:rStyle w:val="a7"/>
            <w:sz w:val="20"/>
            <w:szCs w:val="20"/>
            <w:lang w:val="en-US"/>
          </w:rPr>
          <w:t>ru</w:t>
        </w:r>
        <w:proofErr w:type="spellEnd"/>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01B01"/>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344EA"/>
    <w:rsid w:val="00945A96"/>
    <w:rsid w:val="00965255"/>
    <w:rsid w:val="009748FE"/>
    <w:rsid w:val="009768D4"/>
    <w:rsid w:val="009A014D"/>
    <w:rsid w:val="009A52B0"/>
    <w:rsid w:val="009A6888"/>
    <w:rsid w:val="009C40FE"/>
    <w:rsid w:val="009E1E1F"/>
    <w:rsid w:val="009F3C49"/>
    <w:rsid w:val="009F54C9"/>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56455"/>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76D9"/>
    <w:rsid w:val="00F5623F"/>
    <w:rsid w:val="00F61B9E"/>
    <w:rsid w:val="00F92F8D"/>
    <w:rsid w:val="00FB39AD"/>
    <w:rsid w:val="00FB429B"/>
    <w:rsid w:val="00FB5CDB"/>
    <w:rsid w:val="00FC256D"/>
    <w:rsid w:val="00FC6FF6"/>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4685</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3</cp:revision>
  <cp:lastPrinted>2012-12-19T01:40:00Z</cp:lastPrinted>
  <dcterms:created xsi:type="dcterms:W3CDTF">2012-12-27T06:51:00Z</dcterms:created>
  <dcterms:modified xsi:type="dcterms:W3CDTF">2012-12-27T07:03:00Z</dcterms:modified>
</cp:coreProperties>
</file>