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1" w:rsidRDefault="00A974A1" w:rsidP="00A974A1">
      <w:pPr>
        <w:pStyle w:val="a3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СУБЛИЦЕНЗИОННЫЙ ДОГОВОР № ____</w:t>
      </w:r>
      <w:r w:rsidR="003559F4">
        <w:rPr>
          <w:rFonts w:cs="Tahoma"/>
          <w:b/>
          <w:szCs w:val="20"/>
        </w:rPr>
        <w:t xml:space="preserve"> (ПРОЕКТ)</w:t>
      </w:r>
    </w:p>
    <w:p w:rsidR="00A974A1" w:rsidRDefault="00A974A1" w:rsidP="00A974A1">
      <w:pPr>
        <w:pStyle w:val="a3"/>
        <w:jc w:val="center"/>
        <w:rPr>
          <w:rFonts w:cs="Tahoma"/>
          <w:szCs w:val="20"/>
        </w:rPr>
      </w:pPr>
    </w:p>
    <w:p w:rsidR="00A974A1" w:rsidRDefault="00A974A1" w:rsidP="00A974A1">
      <w:pPr>
        <w:jc w:val="both"/>
        <w:rPr>
          <w:rFonts w:cs="Tahoma"/>
        </w:rPr>
      </w:pPr>
      <w:r>
        <w:rPr>
          <w:rFonts w:cs="Tahoma"/>
        </w:rPr>
        <w:t xml:space="preserve">г. Благовещенск                                                                          </w:t>
      </w:r>
      <w:bookmarkStart w:id="0" w:name="ТекстовоеПоле3"/>
      <w:r>
        <w:rPr>
          <w:rFonts w:cs="Tahoma"/>
        </w:rPr>
        <w:t>«</w:t>
      </w:r>
      <w:bookmarkEnd w:id="0"/>
      <w:r>
        <w:rPr>
          <w:rFonts w:cs="Tahoma"/>
        </w:rPr>
        <w:t>___» ______________ 20__ года</w:t>
      </w:r>
    </w:p>
    <w:p w:rsidR="00A974A1" w:rsidRDefault="00A974A1" w:rsidP="00A974A1">
      <w:pPr>
        <w:pStyle w:val="a3"/>
        <w:jc w:val="center"/>
        <w:rPr>
          <w:rFonts w:cs="Tahoma"/>
          <w:szCs w:val="20"/>
        </w:rPr>
      </w:pPr>
    </w:p>
    <w:p w:rsidR="00A974A1" w:rsidRDefault="00A974A1" w:rsidP="00A974A1">
      <w:pPr>
        <w:pStyle w:val="Tahoma10"/>
        <w:spacing w:line="240" w:lineRule="auto"/>
      </w:pPr>
      <w:r>
        <w:rPr>
          <w:b/>
        </w:rPr>
        <w:t>Открытое акционерное общество «Дальневосточная распределительная сетевая компания» (ОАО «ДРСК»)</w:t>
      </w:r>
      <w:r>
        <w:t xml:space="preserve">, именуемое в дальнейшем </w:t>
      </w:r>
      <w:r>
        <w:rPr>
          <w:b/>
        </w:rPr>
        <w:t>«Сублицензиат»</w:t>
      </w:r>
      <w:r>
        <w:t>, в лице _____________, действующего на основании _____________, с одной стороны,</w:t>
      </w:r>
      <w:bookmarkStart w:id="1" w:name="ТекстовоеПоле8"/>
      <w:r>
        <w:t xml:space="preserve"> и </w:t>
      </w:r>
      <w:bookmarkEnd w:id="1"/>
    </w:p>
    <w:p w:rsidR="00A974A1" w:rsidRDefault="00A974A1" w:rsidP="00A974A1">
      <w:pPr>
        <w:pStyle w:val="Tahoma10"/>
        <w:spacing w:line="240" w:lineRule="auto"/>
      </w:pPr>
      <w:proofErr w:type="gramStart"/>
      <w:r>
        <w:rPr>
          <w:b/>
        </w:rPr>
        <w:t>_____________</w:t>
      </w:r>
      <w:r>
        <w:t xml:space="preserve">, именуемое в дальнейшем </w:t>
      </w:r>
      <w:r>
        <w:rPr>
          <w:b/>
        </w:rPr>
        <w:t>«Лицензиат»</w:t>
      </w:r>
      <w:r>
        <w:t>, в лице _____________, действующего на основании _____________, с другой стороны, принимая во внимание, что Лицензиат является официальным торговым посредником (</w:t>
      </w:r>
      <w:r>
        <w:rPr>
          <w:lang w:val="en-US"/>
        </w:rPr>
        <w:t>Large</w:t>
      </w:r>
      <w:r>
        <w:t xml:space="preserve"> </w:t>
      </w:r>
      <w:r>
        <w:rPr>
          <w:lang w:val="en-US"/>
        </w:rPr>
        <w:t>Account</w:t>
      </w:r>
      <w:r>
        <w:t xml:space="preserve"> </w:t>
      </w:r>
      <w:r>
        <w:rPr>
          <w:lang w:val="en-US"/>
        </w:rPr>
        <w:t>Reseller</w:t>
      </w:r>
      <w:r>
        <w:t xml:space="preserve">, </w:t>
      </w:r>
      <w:r>
        <w:rPr>
          <w:lang w:val="en-US"/>
        </w:rPr>
        <w:t>LAR</w:t>
      </w:r>
      <w:r>
        <w:t xml:space="preserve">) по продаже программ для электронных вычислительных машин компании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Ireland</w:t>
      </w:r>
      <w:r>
        <w:t xml:space="preserve"> </w:t>
      </w:r>
      <w:r>
        <w:rPr>
          <w:lang w:val="en-US"/>
        </w:rPr>
        <w:t>Operations</w:t>
      </w:r>
      <w:r>
        <w:t xml:space="preserve"> </w:t>
      </w:r>
      <w:r>
        <w:rPr>
          <w:lang w:val="en-US"/>
        </w:rPr>
        <w:t>Limited</w:t>
      </w:r>
      <w:r>
        <w:t>, далее вместе именуемые – Стороны, а каждое по отдельности – Сторона, заключили настоящий договор (далее – Договор) о нижеследующем:</w:t>
      </w:r>
      <w:proofErr w:type="gramEnd"/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ind w:left="0" w:firstLine="0"/>
        <w:jc w:val="both"/>
        <w:rPr>
          <w:rFonts w:cs="Tahoma"/>
          <w:b/>
        </w:rPr>
      </w:pPr>
      <w:r>
        <w:rPr>
          <w:rFonts w:cs="Tahoma"/>
          <w:b/>
        </w:rPr>
        <w:t>Термины и определения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Программы для ЭВМ</w:t>
      </w:r>
      <w:r>
        <w:rPr>
          <w:rFonts w:cs="Tahoma"/>
        </w:rPr>
        <w:t xml:space="preserve"> – программы для электронных вычислительных машин, предусмотренные статьёй 1261 Гражданского кодекса Российской Федерации, исключительное право на которые принадлежит компании </w:t>
      </w:r>
      <w:r>
        <w:rPr>
          <w:rFonts w:cs="Tahoma"/>
          <w:lang w:val="en-US"/>
        </w:rPr>
        <w:t>Microsoft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Ireland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Operations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Limited</w:t>
      </w:r>
      <w:r>
        <w:rPr>
          <w:rFonts w:cs="Tahoma"/>
        </w:rPr>
        <w:t>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Право использования</w:t>
      </w:r>
      <w:r>
        <w:rPr>
          <w:rFonts w:cs="Tahoma"/>
        </w:rPr>
        <w:t xml:space="preserve"> – разрешение на использование программ для ЭВМ, перечисленных в Спецификации к настоящему Договору, способами, предусмотренными Договором, а также Соглашениями, получаемое Сублицензиатом на условиях простой (неисключительной) лицензии.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Предоставление права использования программ для ЭВМ</w:t>
      </w:r>
      <w:r>
        <w:rPr>
          <w:rFonts w:cs="Tahoma"/>
        </w:rPr>
        <w:t xml:space="preserve"> – наступление установленных Сторонами в пунктах </w:t>
      </w:r>
      <w:r>
        <w:rPr>
          <w:rFonts w:cs="Tahoma"/>
          <w:highlight w:val="lightGray"/>
        </w:rPr>
        <w:t>2.3.</w:t>
      </w:r>
      <w:r>
        <w:rPr>
          <w:rFonts w:cs="Tahoma"/>
        </w:rPr>
        <w:t xml:space="preserve"> и </w:t>
      </w:r>
      <w:r>
        <w:rPr>
          <w:rFonts w:cs="Tahoma"/>
          <w:highlight w:val="lightGray"/>
        </w:rPr>
        <w:t>2.4.</w:t>
      </w:r>
      <w:r>
        <w:rPr>
          <w:rFonts w:cs="Tahoma"/>
        </w:rPr>
        <w:t xml:space="preserve"> настоящего Договора сроков, позволяющее Сублицензиату начать или продолжить правомерное использование программ для ЭВМ способами, предусмотренными Договором и Соглашениями.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 xml:space="preserve">Дата предоставления права использования программ для ЭВМ </w:t>
      </w:r>
      <w:r>
        <w:rPr>
          <w:rFonts w:cs="Tahoma"/>
        </w:rPr>
        <w:t xml:space="preserve">– дата, в которую истекают сроки, предусмотренные пунктами </w:t>
      </w:r>
      <w:r>
        <w:rPr>
          <w:rFonts w:cs="Tahoma"/>
          <w:highlight w:val="lightGray"/>
        </w:rPr>
        <w:t>2.3.</w:t>
      </w:r>
      <w:r>
        <w:rPr>
          <w:rFonts w:cs="Tahoma"/>
        </w:rPr>
        <w:t xml:space="preserve"> и </w:t>
      </w:r>
      <w:r>
        <w:rPr>
          <w:rFonts w:cs="Tahoma"/>
          <w:highlight w:val="lightGray"/>
        </w:rPr>
        <w:t>2.4.</w:t>
      </w:r>
      <w:r>
        <w:rPr>
          <w:rFonts w:cs="Tahoma"/>
        </w:rPr>
        <w:t xml:space="preserve"> настоящего Договора для каждого из периодов действия права использования программ для ЭВМ, указанных в пункте </w:t>
      </w:r>
      <w:r>
        <w:rPr>
          <w:rFonts w:cs="Tahoma"/>
          <w:highlight w:val="lightGray"/>
        </w:rPr>
        <w:t>5.2.</w:t>
      </w:r>
      <w:r>
        <w:rPr>
          <w:rFonts w:cs="Tahoma"/>
        </w:rPr>
        <w:t xml:space="preserve"> настоящего Договора. 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Правообладатель</w:t>
      </w:r>
      <w:r>
        <w:rPr>
          <w:rFonts w:cs="Tahoma"/>
        </w:rPr>
        <w:t xml:space="preserve"> – компания </w:t>
      </w:r>
      <w:r>
        <w:rPr>
          <w:rFonts w:cs="Tahoma"/>
          <w:lang w:val="en-US"/>
        </w:rPr>
        <w:t>Microsoft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Ireland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Operations</w:t>
      </w:r>
      <w:r>
        <w:rPr>
          <w:rFonts w:cs="Tahoma"/>
        </w:rPr>
        <w:t xml:space="preserve"> </w:t>
      </w:r>
      <w:r>
        <w:rPr>
          <w:rFonts w:cs="Tahoma"/>
          <w:lang w:val="en-US"/>
        </w:rPr>
        <w:t>Limited</w:t>
      </w:r>
      <w:r>
        <w:rPr>
          <w:rFonts w:cs="Tahoma"/>
        </w:rPr>
        <w:t xml:space="preserve">, обладающая исключительным правом на программы для ЭВМ </w:t>
      </w:r>
      <w:r>
        <w:rPr>
          <w:rFonts w:cs="Tahoma"/>
          <w:lang w:val="en-US"/>
        </w:rPr>
        <w:t>Microsoft</w:t>
      </w:r>
      <w:r>
        <w:rPr>
          <w:rFonts w:cs="Tahoma"/>
        </w:rPr>
        <w:t>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Соглашения</w:t>
      </w:r>
      <w:r>
        <w:rPr>
          <w:rFonts w:cs="Tahoma"/>
        </w:rPr>
        <w:t xml:space="preserve"> – пакет трёхсторонних документов, образующих в своей совокупности лицензионный договор, заключаемых между Правообладателем, Сублицензиатом и Лицензиатом, включающий в себя: </w:t>
      </w:r>
      <w:r>
        <w:rPr>
          <w:rFonts w:cs="Tahoma"/>
          <w:bCs/>
          <w:color w:val="000000"/>
        </w:rPr>
        <w:t xml:space="preserve">Соглашение </w:t>
      </w:r>
      <w:r>
        <w:rPr>
          <w:rFonts w:cs="Tahoma"/>
          <w:bCs/>
          <w:color w:val="000000"/>
          <w:lang w:val="en-US"/>
        </w:rPr>
        <w:t>Business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and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Services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Agreement</w:t>
      </w:r>
      <w:r>
        <w:rPr>
          <w:rFonts w:cs="Tahoma"/>
          <w:bCs/>
          <w:color w:val="000000"/>
        </w:rPr>
        <w:t xml:space="preserve">, Соглашение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, Соглашение о регистрации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(через торгового посредника), Форму выбора продуктов к Соглашению о регистрации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Subscription</w:t>
      </w:r>
      <w:r>
        <w:rPr>
          <w:rFonts w:cs="Tahoma"/>
          <w:bCs/>
          <w:color w:val="000000"/>
        </w:rPr>
        <w:t xml:space="preserve"> и иные документы перечисленные </w:t>
      </w:r>
      <w:proofErr w:type="gramStart"/>
      <w:r>
        <w:rPr>
          <w:rFonts w:cs="Tahoma"/>
          <w:bCs/>
          <w:color w:val="000000"/>
        </w:rPr>
        <w:t>в</w:t>
      </w:r>
      <w:proofErr w:type="gramEnd"/>
      <w:r>
        <w:rPr>
          <w:rFonts w:cs="Tahoma"/>
          <w:bCs/>
          <w:color w:val="000000"/>
        </w:rPr>
        <w:t xml:space="preserve"> Форме для подписей.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>Форма для подписей</w:t>
      </w:r>
      <w:r>
        <w:rPr>
          <w:rFonts w:cs="Tahoma"/>
        </w:rPr>
        <w:t xml:space="preserve"> – двусторонний документ «Форма для подписей по программе» подписываемый Правообладателем и Сублицензиатом, в котором перечислены Соглашения.</w:t>
      </w:r>
    </w:p>
    <w:p w:rsidR="00A974A1" w:rsidRDefault="00A974A1" w:rsidP="00A974A1">
      <w:pPr>
        <w:numPr>
          <w:ilvl w:val="1"/>
          <w:numId w:val="1"/>
        </w:numPr>
        <w:ind w:left="0" w:firstLine="0"/>
        <w:jc w:val="both"/>
        <w:rPr>
          <w:rFonts w:cs="Tahoma"/>
        </w:rPr>
      </w:pPr>
      <w:r>
        <w:rPr>
          <w:rFonts w:cs="Tahoma"/>
          <w:i/>
        </w:rPr>
        <w:t xml:space="preserve">Дата вступления в силу </w:t>
      </w:r>
      <w:r>
        <w:rPr>
          <w:rFonts w:cs="Tahoma"/>
        </w:rPr>
        <w:t>– дата, с которой вступают в силу Соглашения, проставляемая Правообладателем на Форме для подписей.</w:t>
      </w:r>
    </w:p>
    <w:p w:rsidR="00A974A1" w:rsidRDefault="00A974A1" w:rsidP="00A974A1">
      <w:pPr>
        <w:ind w:left="792"/>
        <w:jc w:val="both"/>
        <w:rPr>
          <w:rFonts w:cs="Tahoma"/>
        </w:rPr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Предмет Договора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/>
        </w:rPr>
      </w:pPr>
      <w:r>
        <w:rPr>
          <w:rFonts w:cs="Tahoma"/>
          <w:bCs/>
          <w:color w:val="000000"/>
        </w:rPr>
        <w:t>В соответствии с условиями настоящего Договора Лицензиат предоставляет</w:t>
      </w:r>
      <w:r>
        <w:rPr>
          <w:rFonts w:cs="Tahoma"/>
        </w:rPr>
        <w:t xml:space="preserve"> Сублицензиату право использования программ для ЭВМ, перечисленных в Спецификации к настоящему Договору, на условиях простой (неисключительной) лицензии, а Сублицензиат принимает и оплачивает предоставление права использования программ для ЭВМ в порядке и на условиях настоящего Договора.</w:t>
      </w:r>
    </w:p>
    <w:p w:rsidR="00A974A1" w:rsidRP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 w:rsidRPr="00A974A1">
        <w:rPr>
          <w:rFonts w:cs="Tahoma"/>
          <w:bCs/>
          <w:color w:val="000000"/>
        </w:rPr>
        <w:t>Право использования программ для ЭВМ предоставляется Сублицензиату в рамках третьего года использования программ для ЭВМ по программе лицензирования Enterprise Agreement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Subscription</w:t>
      </w:r>
      <w:r w:rsidRPr="00A974A1">
        <w:rPr>
          <w:rFonts w:cs="Tahoma"/>
          <w:bCs/>
          <w:color w:val="000000"/>
        </w:rPr>
        <w:t xml:space="preserve"> Правообладателя и с учетом того, что между Сублицензиатом и Правообладателем заключены следующие соглашения (далее вместе именуемых – </w:t>
      </w:r>
      <w:r w:rsidRPr="00A974A1">
        <w:rPr>
          <w:rFonts w:cs="Tahoma"/>
          <w:b/>
          <w:bCs/>
          <w:color w:val="000000"/>
        </w:rPr>
        <w:t>Соглашения</w:t>
      </w:r>
      <w:r w:rsidRPr="00A974A1">
        <w:rPr>
          <w:rFonts w:cs="Tahoma"/>
          <w:bCs/>
          <w:color w:val="000000"/>
        </w:rPr>
        <w:t>):</w:t>
      </w:r>
    </w:p>
    <w:p w:rsidR="00A974A1" w:rsidRPr="00A974A1" w:rsidRDefault="00A974A1" w:rsidP="00A974A1">
      <w:pPr>
        <w:pStyle w:val="ab"/>
        <w:numPr>
          <w:ilvl w:val="2"/>
          <w:numId w:val="1"/>
        </w:numPr>
        <w:tabs>
          <w:tab w:val="left" w:pos="567"/>
        </w:tabs>
        <w:jc w:val="both"/>
        <w:rPr>
          <w:rFonts w:cs="Tahoma"/>
          <w:bCs/>
          <w:color w:val="000000"/>
          <w:lang w:val="en-US"/>
        </w:rPr>
      </w:pPr>
      <w:r w:rsidRPr="00A974A1">
        <w:rPr>
          <w:rFonts w:cs="Tahoma"/>
          <w:bCs/>
          <w:color w:val="000000"/>
        </w:rPr>
        <w:t>Соглашение</w:t>
      </w:r>
      <w:r w:rsidRPr="00A974A1">
        <w:rPr>
          <w:rFonts w:cs="Tahoma"/>
          <w:bCs/>
          <w:color w:val="000000"/>
          <w:lang w:val="en-US"/>
        </w:rPr>
        <w:t xml:space="preserve"> Business and Services Agreement;</w:t>
      </w:r>
    </w:p>
    <w:p w:rsidR="00A974A1" w:rsidRPr="00A974A1" w:rsidRDefault="00A974A1" w:rsidP="00A974A1">
      <w:pPr>
        <w:pStyle w:val="ab"/>
        <w:numPr>
          <w:ilvl w:val="2"/>
          <w:numId w:val="1"/>
        </w:numPr>
        <w:tabs>
          <w:tab w:val="left" w:pos="567"/>
        </w:tabs>
        <w:jc w:val="both"/>
        <w:rPr>
          <w:rFonts w:cs="Tahoma"/>
          <w:bCs/>
          <w:color w:val="000000"/>
          <w:lang w:val="en-US"/>
        </w:rPr>
      </w:pPr>
      <w:r w:rsidRPr="00A974A1">
        <w:rPr>
          <w:rFonts w:cs="Tahoma"/>
          <w:bCs/>
          <w:color w:val="000000"/>
        </w:rPr>
        <w:t xml:space="preserve">Соглашение </w:t>
      </w:r>
      <w:r w:rsidRPr="00A974A1">
        <w:rPr>
          <w:rFonts w:cs="Tahoma"/>
          <w:bCs/>
          <w:color w:val="000000"/>
          <w:lang w:val="en-US"/>
        </w:rPr>
        <w:t>Enterprise Agreement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Subscription</w:t>
      </w:r>
      <w:r w:rsidRPr="00A974A1">
        <w:rPr>
          <w:rFonts w:cs="Tahoma"/>
          <w:bCs/>
          <w:color w:val="000000"/>
        </w:rPr>
        <w:t>;</w:t>
      </w:r>
    </w:p>
    <w:p w:rsidR="00A974A1" w:rsidRPr="00A974A1" w:rsidRDefault="00A974A1" w:rsidP="00A974A1">
      <w:pPr>
        <w:pStyle w:val="ab"/>
        <w:numPr>
          <w:ilvl w:val="2"/>
          <w:numId w:val="1"/>
        </w:numPr>
        <w:tabs>
          <w:tab w:val="left" w:pos="567"/>
        </w:tabs>
        <w:jc w:val="both"/>
        <w:rPr>
          <w:rFonts w:cs="Tahoma"/>
          <w:bCs/>
          <w:color w:val="000000"/>
        </w:rPr>
      </w:pPr>
      <w:r w:rsidRPr="00A974A1">
        <w:rPr>
          <w:rFonts w:cs="Tahoma"/>
          <w:bCs/>
          <w:color w:val="000000"/>
        </w:rPr>
        <w:t>Соглашение о регистрации через торгового посредника (</w:t>
      </w:r>
      <w:r w:rsidRPr="00A974A1">
        <w:rPr>
          <w:rFonts w:cs="Tahoma"/>
          <w:bCs/>
          <w:color w:val="000000"/>
          <w:lang w:val="en-US"/>
        </w:rPr>
        <w:t>Enterprise</w:t>
      </w:r>
      <w:r w:rsidRPr="00A974A1">
        <w:rPr>
          <w:rFonts w:cs="Tahoma"/>
          <w:bCs/>
          <w:color w:val="000000"/>
        </w:rPr>
        <w:t xml:space="preserve"> </w:t>
      </w:r>
      <w:r w:rsidRPr="00A974A1">
        <w:rPr>
          <w:rFonts w:cs="Tahoma"/>
          <w:bCs/>
          <w:color w:val="000000"/>
          <w:lang w:val="en-US"/>
        </w:rPr>
        <w:t>Enrollment</w:t>
      </w:r>
      <w:r w:rsidRPr="00A974A1">
        <w:rPr>
          <w:rFonts w:cs="Tahoma"/>
          <w:bCs/>
          <w:color w:val="000000"/>
        </w:rPr>
        <w:t>).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</w:rPr>
      </w:pPr>
      <w:r>
        <w:rPr>
          <w:rFonts w:cs="Tahoma"/>
          <w:bCs/>
        </w:rPr>
        <w:t xml:space="preserve">В срок </w:t>
      </w:r>
      <w:r w:rsidRPr="00354278">
        <w:rPr>
          <w:rFonts w:cs="Tahoma"/>
          <w:b/>
          <w:bCs/>
        </w:rPr>
        <w:t>до 30 сентября 2012</w:t>
      </w:r>
      <w:r>
        <w:rPr>
          <w:rFonts w:cs="Tahoma"/>
          <w:bCs/>
        </w:rPr>
        <w:t xml:space="preserve"> г. Л</w:t>
      </w:r>
      <w:r w:rsidRPr="00235D3D">
        <w:rPr>
          <w:rFonts w:cs="Tahoma"/>
          <w:bCs/>
        </w:rPr>
        <w:t>ицензиат</w:t>
      </w:r>
      <w:r>
        <w:rPr>
          <w:rFonts w:cs="Tahoma"/>
          <w:bCs/>
        </w:rPr>
        <w:t xml:space="preserve"> </w:t>
      </w:r>
      <w:r w:rsidRPr="00235D3D">
        <w:rPr>
          <w:rFonts w:cs="Tahoma"/>
          <w:bCs/>
        </w:rPr>
        <w:t xml:space="preserve">на основании Акта приема-передачи прав предоставляет Сублицензиату права использования программ для ЭВМ на </w:t>
      </w:r>
      <w:r>
        <w:rPr>
          <w:rFonts w:cs="Tahoma"/>
          <w:bCs/>
        </w:rPr>
        <w:t>третий</w:t>
      </w:r>
      <w:r w:rsidRPr="00235D3D">
        <w:rPr>
          <w:rFonts w:cs="Tahoma"/>
          <w:bCs/>
        </w:rPr>
        <w:t xml:space="preserve"> календарный год, на срок, равный одному календарному году </w:t>
      </w:r>
      <w:proofErr w:type="gramStart"/>
      <w:r w:rsidRPr="00235D3D">
        <w:rPr>
          <w:rFonts w:cs="Tahoma"/>
          <w:bCs/>
        </w:rPr>
        <w:t xml:space="preserve">с даты </w:t>
      </w:r>
      <w:r>
        <w:rPr>
          <w:rFonts w:cs="Tahoma"/>
          <w:bCs/>
        </w:rPr>
        <w:t>предоставления</w:t>
      </w:r>
      <w:proofErr w:type="gramEnd"/>
      <w:r>
        <w:rPr>
          <w:rFonts w:cs="Tahoma"/>
          <w:bCs/>
        </w:rPr>
        <w:t xml:space="preserve"> соответствующего права</w:t>
      </w:r>
      <w:r w:rsidRPr="00235D3D">
        <w:rPr>
          <w:rFonts w:cs="Tahoma"/>
          <w:bCs/>
        </w:rPr>
        <w:t xml:space="preserve">. 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</w:rPr>
        <w:t xml:space="preserve">В течение 5 (пяти) рабочих дней </w:t>
      </w:r>
      <w:proofErr w:type="gramStart"/>
      <w:r>
        <w:rPr>
          <w:rFonts w:cs="Tahoma"/>
        </w:rPr>
        <w:t>с даты предоставления</w:t>
      </w:r>
      <w:proofErr w:type="gramEnd"/>
      <w:r>
        <w:rPr>
          <w:rFonts w:cs="Tahoma"/>
        </w:rPr>
        <w:t xml:space="preserve"> права использования программ для ЭВМ Стороны подписывают Акт предоставления прав с одной единственной целью – исполнить требования законодательства Российской Федерации о бухгалтерском учёте в части оформления </w:t>
      </w:r>
      <w:r>
        <w:rPr>
          <w:rFonts w:cs="Tahoma"/>
        </w:rPr>
        <w:lastRenderedPageBreak/>
        <w:t xml:space="preserve">первичных учётных документов. Стороны соглашаются с тем, что Акт предоставления прав </w:t>
      </w:r>
      <w:r>
        <w:rPr>
          <w:rFonts w:cs="Tahoma"/>
          <w:b/>
        </w:rPr>
        <w:t xml:space="preserve">не является подтверждением </w:t>
      </w:r>
      <w:proofErr w:type="gramStart"/>
      <w:r>
        <w:rPr>
          <w:rFonts w:cs="Tahoma"/>
          <w:b/>
        </w:rPr>
        <w:t>факта передачи права использования соответствующих программ</w:t>
      </w:r>
      <w:proofErr w:type="gramEnd"/>
      <w:r>
        <w:rPr>
          <w:rFonts w:cs="Tahoma"/>
          <w:b/>
        </w:rPr>
        <w:t xml:space="preserve"> для ЭВМ и не подписание Акта не является признаком </w:t>
      </w:r>
      <w:proofErr w:type="spellStart"/>
      <w:r>
        <w:rPr>
          <w:rFonts w:cs="Tahoma"/>
          <w:b/>
        </w:rPr>
        <w:t>непредоставления</w:t>
      </w:r>
      <w:proofErr w:type="spellEnd"/>
      <w:r>
        <w:rPr>
          <w:rFonts w:cs="Tahoma"/>
          <w:b/>
        </w:rPr>
        <w:t xml:space="preserve"> права использования Лицензиатом.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</w:rPr>
        <w:t>Объем предоставляемого права использования включает в себя воспроизведение программ</w:t>
      </w:r>
      <w:r>
        <w:rPr>
          <w:rFonts w:cs="Tahoma"/>
          <w:bCs/>
          <w:color w:val="000000"/>
        </w:rPr>
        <w:t xml:space="preserve"> для ЭВМ путем запуска, копирования и инсталляции, а также иными способами, предусмотренными Соглашениями. Стороны соглашаются с тем, что указание способов использования программ для ЭВМ в Соглашениях равносильно прямому указанию соответствующих способов в тексте настоящего Договора. Все способы использования программ для ЭВМ ограничены Соглашениями.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После получения письменного согласия Лицензиата Сублицензиат вправе предоставлять право использования всех или части программ для ЭВМ своим аффилированным лицам в терминах, предусмотренных Соглашениями, в объеме и на срок, предусмотренные настоящим Договором и с обязательным соблюдением всех условий Соглашений.</w:t>
      </w:r>
    </w:p>
    <w:p w:rsidR="00A974A1" w:rsidRDefault="00A974A1" w:rsidP="00A974A1">
      <w:pPr>
        <w:pStyle w:val="a3"/>
        <w:rPr>
          <w:rFonts w:cs="Tahoma"/>
          <w:bCs/>
          <w:color w:val="000000"/>
          <w:szCs w:val="20"/>
        </w:rPr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  <w:bCs/>
        </w:rPr>
        <w:t>Лицензиат обязуется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предоставить Сублицензиату право использования программ для ЭВМ в соответствии с условиями настоящего Договора и Соглашений;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принимать платежи за предоставление права использования программ для ЭВМ, предусмотренные настоящим Договором.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Сублицензиат обязуется: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осуществлять платежи в порядке, предусмотренном настоящим Договором;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подписывать Акты предоставления прав или направлять мотивированный отказ от подписания в течение 5 (пяти) рабочих дней с момента получения Актов, в противном случае Акты считаются подписанными Сублицензиатом.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Порядок оплаты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За предоставление права использования программ для ЭВМ Сублицензиат уплачивает Лицензиату вознаграждение в рублях Российской Федерации, предусмотренное в Спецификации к настоящему Договору, путём безналичного перечисления денежных средств на расчётный счёт Лицензиата.  </w:t>
      </w:r>
    </w:p>
    <w:p w:rsidR="00A974A1" w:rsidRDefault="00A974A1" w:rsidP="00CC0B13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</w:rPr>
      </w:pPr>
      <w:r>
        <w:rPr>
          <w:rFonts w:cs="Tahoma"/>
          <w:bCs/>
          <w:color w:val="000000"/>
        </w:rPr>
        <w:t xml:space="preserve">Оплата вознаграждения Лицензиата за предоставление права использования программ </w:t>
      </w:r>
      <w:proofErr w:type="gramStart"/>
      <w:r>
        <w:rPr>
          <w:rFonts w:cs="Tahoma"/>
          <w:bCs/>
          <w:color w:val="000000"/>
        </w:rPr>
        <w:t>для</w:t>
      </w:r>
      <w:proofErr w:type="gramEnd"/>
      <w:r>
        <w:rPr>
          <w:rFonts w:cs="Tahoma"/>
          <w:bCs/>
          <w:color w:val="000000"/>
        </w:rPr>
        <w:t xml:space="preserve"> осуществляется </w:t>
      </w:r>
      <w:proofErr w:type="gramStart"/>
      <w:r>
        <w:rPr>
          <w:rFonts w:cs="Tahoma"/>
          <w:bCs/>
          <w:color w:val="000000"/>
        </w:rPr>
        <w:t>в</w:t>
      </w:r>
      <w:proofErr w:type="gramEnd"/>
      <w:r>
        <w:rPr>
          <w:rFonts w:cs="Tahoma"/>
          <w:bCs/>
          <w:color w:val="000000"/>
        </w:rPr>
        <w:t xml:space="preserve"> </w:t>
      </w:r>
      <w:r w:rsidR="00CC0B13">
        <w:rPr>
          <w:rFonts w:cs="Tahoma"/>
          <w:bCs/>
          <w:color w:val="000000"/>
        </w:rPr>
        <w:t>течение 30 рабочих дней с момента предоставления права использования в полном объеме.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случае увеличения числа ЭВМ, на которых используются программы и/или перечня используемых программ для ЭВМ в течение срока действия настоящего Договора, Стороны согласуют дальнейшие платежи в дополнительном соглашении к настоящему Договору, руководствуясь следующим:</w:t>
      </w:r>
    </w:p>
    <w:p w:rsidR="00A974A1" w:rsidRDefault="00A974A1" w:rsidP="00A974A1">
      <w:pPr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случае увеличения числа ЭВМ, на которых используются программы, стоимость предоставления права использования на дополнительных ЭВМ определяются согласно прайс-листу Правообладателя, действующему на момент вступления настоящего Договора в силу только для программ для ЭВМ, предусмотренных Спецификацией на момент подписания настоящего Договора;</w:t>
      </w:r>
    </w:p>
    <w:p w:rsidR="00A974A1" w:rsidRDefault="00A974A1" w:rsidP="00A974A1">
      <w:pPr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случае расширения перечня используемых программ для ЭВМ стоимость предоставления права использования указанных программ для ЭВМ определяется согласно прайс-листу Правообладателя, действующему на момент вступления в силу соответствующего дополнительного соглашения к настоящему Договору.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Предоставление права использования программ для ЭВМ по настоящему Договору не подлежит обложению НДС согласно пп.26 п.2. ст.149 Налогового кодекса Российской Федерации.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Счета-фактуры предоставляются в </w:t>
      </w:r>
      <w:proofErr w:type="gramStart"/>
      <w:r>
        <w:rPr>
          <w:rFonts w:cs="Tahoma"/>
          <w:bCs/>
          <w:color w:val="000000"/>
        </w:rPr>
        <w:t>сроки</w:t>
      </w:r>
      <w:proofErr w:type="gramEnd"/>
      <w:r>
        <w:rPr>
          <w:rFonts w:cs="Tahoma"/>
          <w:bCs/>
          <w:color w:val="000000"/>
        </w:rPr>
        <w:t xml:space="preserve"> предусмотренные действующим налоговым законодательством Российской Федерации.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Срок действия Договора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Настоящий Договор вступает в силу со дня его подписания и действует до выполнения всех обязательств по Договору обеими Сторонами.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Настоящий Договор считается расторгнутым с момента расторжения Соглашения о регистрации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(через торгового посредника) в отношении предусмотренных Формой выбора продуктов к Соглашению о регистрации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и </w:t>
      </w:r>
      <w:r>
        <w:rPr>
          <w:rFonts w:cs="Tahoma"/>
          <w:bCs/>
          <w:color w:val="000000"/>
          <w:lang w:val="en-US"/>
        </w:rPr>
        <w:t>Enterprise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  <w:lang w:val="en-US"/>
        </w:rPr>
        <w:t>Subscription</w:t>
      </w:r>
      <w:r>
        <w:rPr>
          <w:rFonts w:cs="Tahoma"/>
          <w:bCs/>
          <w:color w:val="000000"/>
        </w:rPr>
        <w:t xml:space="preserve"> программ для ЭВМ (права их использования). 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</w:rPr>
      </w:pPr>
      <w:r>
        <w:rPr>
          <w:rFonts w:cs="Tahoma"/>
          <w:bCs/>
        </w:rPr>
        <w:lastRenderedPageBreak/>
        <w:t>Предоставленное Сублицензиату на момент отказа Лицензиата от исполнения настоящего Договора, но не оплаченное право использования программ для ЭВМ, может быть отозвано Лицензиатом, либо с согласия Лицензиата оплачено Сублицензиатом.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Обстоятельства непреодолимой силы</w:t>
      </w:r>
    </w:p>
    <w:p w:rsidR="00A974A1" w:rsidRDefault="00A974A1" w:rsidP="00A974A1">
      <w:pPr>
        <w:numPr>
          <w:ilvl w:val="1"/>
          <w:numId w:val="1"/>
        </w:numPr>
        <w:tabs>
          <w:tab w:val="num" w:pos="561"/>
        </w:tabs>
        <w:autoSpaceDE/>
        <w:autoSpaceDN/>
        <w:ind w:left="0" w:firstLine="0"/>
        <w:jc w:val="both"/>
        <w:rPr>
          <w:rFonts w:cs="Tahoma"/>
        </w:rPr>
      </w:pPr>
      <w:r>
        <w:rPr>
          <w:rFonts w:cs="Tahoma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</w:t>
      </w:r>
      <w:proofErr w:type="gramStart"/>
      <w:r>
        <w:rPr>
          <w:rFonts w:cs="Tahoma"/>
        </w:rPr>
        <w:t>ств в сл</w:t>
      </w:r>
      <w:proofErr w:type="gramEnd"/>
      <w:r>
        <w:rPr>
          <w:rFonts w:cs="Tahoma"/>
        </w:rPr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A974A1" w:rsidRDefault="00A974A1" w:rsidP="00A974A1">
      <w:pPr>
        <w:numPr>
          <w:ilvl w:val="1"/>
          <w:numId w:val="1"/>
        </w:numPr>
        <w:tabs>
          <w:tab w:val="num" w:pos="561"/>
        </w:tabs>
        <w:autoSpaceDE/>
        <w:autoSpaceDN/>
        <w:ind w:left="0" w:firstLine="0"/>
        <w:jc w:val="both"/>
        <w:rPr>
          <w:rFonts w:cs="Tahoma"/>
        </w:rPr>
      </w:pPr>
      <w:r>
        <w:rPr>
          <w:rFonts w:cs="Tahoma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A974A1" w:rsidRDefault="00A974A1" w:rsidP="00A974A1">
      <w:pPr>
        <w:numPr>
          <w:ilvl w:val="1"/>
          <w:numId w:val="1"/>
        </w:numPr>
        <w:tabs>
          <w:tab w:val="num" w:pos="561"/>
        </w:tabs>
        <w:autoSpaceDE/>
        <w:autoSpaceDN/>
        <w:ind w:left="0" w:firstLine="0"/>
        <w:jc w:val="both"/>
        <w:rPr>
          <w:rFonts w:cs="Tahoma"/>
        </w:rPr>
      </w:pPr>
      <w:r>
        <w:rPr>
          <w:rFonts w:cs="Tahoma"/>
        </w:rPr>
        <w:t>В случае наступления обстоятельств непреодолимой силы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A974A1" w:rsidRDefault="00A974A1" w:rsidP="00A974A1">
      <w:pPr>
        <w:pStyle w:val="Tahoma10"/>
        <w:spacing w:line="240" w:lineRule="auto"/>
        <w:rPr>
          <w:lang w:eastAsia="en-US"/>
        </w:rPr>
      </w:pPr>
    </w:p>
    <w:p w:rsidR="00A974A1" w:rsidRDefault="00A974A1" w:rsidP="00A974A1">
      <w:pPr>
        <w:numPr>
          <w:ilvl w:val="0"/>
          <w:numId w:val="1"/>
        </w:numPr>
        <w:tabs>
          <w:tab w:val="num" w:pos="561"/>
        </w:tabs>
        <w:autoSpaceDE/>
        <w:autoSpaceDN/>
        <w:jc w:val="both"/>
        <w:rPr>
          <w:rFonts w:cs="Tahoma"/>
          <w:b/>
        </w:rPr>
      </w:pPr>
      <w:r>
        <w:rPr>
          <w:rFonts w:cs="Tahoma"/>
          <w:b/>
        </w:rPr>
        <w:t>Конфиденциальность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proofErr w:type="gramStart"/>
      <w:r>
        <w:rPr>
          <w:rFonts w:cs="Tahoma"/>
          <w:bCs/>
          <w:color w:val="000000"/>
        </w:rPr>
        <w:t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>
        <w:rPr>
          <w:rFonts w:cs="Tahoma"/>
          <w:bCs/>
          <w:color w:val="000000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A974A1" w:rsidRDefault="00A974A1" w:rsidP="00A974A1">
      <w:pPr>
        <w:jc w:val="both"/>
        <w:rPr>
          <w:rFonts w:cs="Tahoma"/>
        </w:rPr>
      </w:pPr>
      <w:r>
        <w:rPr>
          <w:rFonts w:cs="Tahoma"/>
        </w:rPr>
        <w:t xml:space="preserve">— осуществлять передачу конфиденциальной информации исключительно по защищенным каналам связи; </w:t>
      </w:r>
    </w:p>
    <w:p w:rsidR="00A974A1" w:rsidRDefault="00A974A1" w:rsidP="00A974A1">
      <w:pPr>
        <w:jc w:val="both"/>
        <w:rPr>
          <w:rFonts w:cs="Tahoma"/>
        </w:rPr>
      </w:pPr>
      <w:r>
        <w:rPr>
          <w:rFonts w:cs="Tahoma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A974A1" w:rsidRDefault="00A974A1" w:rsidP="00A974A1">
      <w:pPr>
        <w:jc w:val="both"/>
        <w:rPr>
          <w:rFonts w:cs="Tahoma"/>
        </w:rPr>
      </w:pPr>
      <w:r>
        <w:rPr>
          <w:rFonts w:cs="Tahoma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>
        <w:rPr>
          <w:rFonts w:cs="Tahoma"/>
          <w:bCs/>
          <w:color w:val="000000"/>
        </w:rPr>
        <w:noBreakHyphen/>
        <w:t>ФЗ от 27.07.2006 года.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proofErr w:type="gramStart"/>
      <w:r>
        <w:rPr>
          <w:rFonts w:cs="Tahoma"/>
          <w:bCs/>
          <w:color w:val="000000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>
        <w:rPr>
          <w:rFonts w:cs="Tahoma"/>
          <w:bCs/>
          <w:color w:val="000000"/>
        </w:rPr>
        <w:t xml:space="preserve"> </w:t>
      </w:r>
      <w:proofErr w:type="gramStart"/>
      <w:r>
        <w:rPr>
          <w:rFonts w:cs="Tahoma"/>
          <w:bCs/>
          <w:color w:val="000000"/>
        </w:rPr>
        <w:t>худших</w:t>
      </w:r>
      <w:proofErr w:type="gramEnd"/>
      <w:r>
        <w:rPr>
          <w:rFonts w:cs="Tahoma"/>
          <w:bCs/>
          <w:color w:val="000000"/>
        </w:rPr>
        <w:t>, чем содержаться в настоящем Договоре.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</w:t>
      </w:r>
      <w:r>
        <w:rPr>
          <w:rFonts w:cs="Tahoma"/>
          <w:bCs/>
          <w:color w:val="000000"/>
        </w:rPr>
        <w:t>.</w:t>
      </w:r>
    </w:p>
    <w:p w:rsidR="00A974A1" w:rsidRDefault="00A974A1" w:rsidP="00A974A1">
      <w:pPr>
        <w:ind w:left="360"/>
        <w:jc w:val="both"/>
        <w:rPr>
          <w:rFonts w:cs="Tahoma"/>
          <w:b/>
        </w:rPr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Ответственность Сторон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За несвоевременное предоставление права использования программ для </w:t>
      </w:r>
      <w:r>
        <w:rPr>
          <w:rFonts w:cs="Tahoma"/>
          <w:bCs/>
          <w:color w:val="000000"/>
        </w:rPr>
        <w:br/>
        <w:t>ЭВМ Сублицензиат вправе письменно потребовать от Лицензиата уплатить пени в размере 0,1 (ноль целых одна десятая) % от суммы первого платежа за каждый день просрочки.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За просрочку перечисления Сублицензиатом платежей Лицензиат вправе письменно потребовать от Сублицензиата уплатить пени в размере 0,1 (ноль целых одна десятая) % от просроченной суммы за каждый день просрочки.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случаях, не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Иные условия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Стороны примут все меры для разрешения спорных вопросов и разногласий, связанных с исполнением настоящего договора, путём переговоров. </w:t>
      </w:r>
      <w:r>
        <w:rPr>
          <w:rFonts w:cs="Tahoma"/>
        </w:rPr>
        <w:t>Споры по оплате Сублицензиатом задолженности, просроченной более чем на 30 (тридцать) календарных дней, могут быть переданы в Арбитражный суд без соблюдения досудебного порядка разрешения спора.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 случае неурегулирования разногласий путём переговоров Стороны вправе передать споры на рассмотрение в Арбитражный суд по месту нахождения истца.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</w:rPr>
        <w:t>Если иное не установлено Договором или законом, ни одна из Сторон не вправе в одностороннем порядке отказываться от исполнения Договора или передавать третьим лицам права и обязательства по Договору без письменного согласия другой Стороны</w:t>
      </w:r>
      <w:r>
        <w:rPr>
          <w:rFonts w:cs="Tahoma"/>
          <w:bCs/>
          <w:color w:val="000000"/>
        </w:rPr>
        <w:t>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Изменения и дополнения к настоящему Договору считаются действительными только в том случае, если они оформлены в письменном виде и подписаны уполномоченными представителями сторон.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proofErr w:type="gramStart"/>
      <w:r>
        <w:rPr>
          <w:rFonts w:cs="Tahoma"/>
          <w:bCs/>
          <w:color w:val="000000"/>
        </w:rPr>
        <w:t>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</w:t>
      </w:r>
      <w:proofErr w:type="gramEnd"/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Для определения аутентичности сообщения, составленного на бумажном носителе, достаточно 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Обмен сообщениями по электронной почте считается совершённым только после получения соответствующего подтверждения от Стороны, получившей сообщение.</w:t>
      </w:r>
    </w:p>
    <w:p w:rsidR="00A974A1" w:rsidRDefault="00A974A1" w:rsidP="00A974A1">
      <w:pPr>
        <w:numPr>
          <w:ilvl w:val="1"/>
          <w:numId w:val="1"/>
        </w:numPr>
        <w:tabs>
          <w:tab w:val="num" w:pos="561"/>
        </w:tabs>
        <w:autoSpaceDE/>
        <w:autoSpaceDN/>
        <w:ind w:left="0" w:firstLine="0"/>
        <w:jc w:val="both"/>
        <w:rPr>
          <w:rFonts w:cs="Tahoma"/>
        </w:rPr>
      </w:pPr>
      <w:r>
        <w:rPr>
          <w:rFonts w:cs="Tahoma"/>
        </w:rPr>
        <w:t>Во время срока действия настоящего Договора, Стороны (в том числе работники Сторон) обязуются не осуществлять действий, квалифицируемых законодательством России как дача или получение взятки, коммерческий подкуп, а также действий, нарушающих требования законодательства России и международных актов о защите конкуренции и противодействии легализации (отмыванию) доходов, полученных преступным путем.</w:t>
      </w:r>
    </w:p>
    <w:p w:rsidR="00A974A1" w:rsidRDefault="00A974A1" w:rsidP="00A974A1">
      <w:pPr>
        <w:numPr>
          <w:ilvl w:val="1"/>
          <w:numId w:val="1"/>
        </w:numPr>
        <w:tabs>
          <w:tab w:val="num" w:pos="561"/>
        </w:tabs>
        <w:autoSpaceDE/>
        <w:autoSpaceDN/>
        <w:ind w:left="0" w:firstLine="0"/>
        <w:jc w:val="both"/>
        <w:rPr>
          <w:rFonts w:cs="Tahoma"/>
        </w:rPr>
      </w:pPr>
      <w:proofErr w:type="gramStart"/>
      <w:r>
        <w:rPr>
          <w:rFonts w:cs="Tahoma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(оказания услуг), а также стимулирования другими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Стороны.</w:t>
      </w:r>
      <w:proofErr w:type="gramEnd"/>
      <w:r>
        <w:rPr>
          <w:rFonts w:cs="Tahoma"/>
        </w:rPr>
        <w:t xml:space="preserve"> Под действиями работника, осуществляемыми в пользу стимулирующей его Стороны, понимаются: предоставление неоправданных преимуществ по сравнению с другими контрагентами; ускорение существующих процедур. Вышеуказанные ограничения не применяются к подаркам незначительной стоимости (до 500 (пятисот) рублей), носящим рекламный характер.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</w:rPr>
        <w:t xml:space="preserve">В случае возникновения у Стороны подозрений, что произошло или может произойти нарушение условий пунктов </w:t>
      </w:r>
      <w:r>
        <w:rPr>
          <w:rFonts w:cs="Tahoma"/>
          <w:highlight w:val="lightGray"/>
        </w:rPr>
        <w:t>10.9.</w:t>
      </w:r>
      <w:r>
        <w:rPr>
          <w:rFonts w:cs="Tahoma"/>
        </w:rPr>
        <w:t xml:space="preserve"> и </w:t>
      </w:r>
      <w:r>
        <w:rPr>
          <w:rFonts w:cs="Tahoma"/>
          <w:highlight w:val="lightGray"/>
        </w:rPr>
        <w:t>10.10.</w:t>
      </w:r>
      <w:r>
        <w:rPr>
          <w:rFonts w:cs="Tahoma"/>
        </w:rPr>
        <w:t xml:space="preserve"> настоящего Договора (далее – «антикоррупционные условия»), соответствующая Сторона обязуется уведомить другую Сторону в письменной форме. В письменном уведомлении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антикоррупционных условий настоящего Договора</w:t>
      </w:r>
      <w:r>
        <w:rPr>
          <w:rFonts w:cs="Tahoma"/>
          <w:bCs/>
          <w:color w:val="000000"/>
        </w:rPr>
        <w:t>.</w:t>
      </w:r>
    </w:p>
    <w:p w:rsidR="0019046E" w:rsidRDefault="0019046E" w:rsidP="0019046E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 w:rsidRPr="007165C6">
        <w:rPr>
          <w:rFonts w:cs="Tahoma"/>
          <w:bCs/>
          <w:color w:val="000000"/>
        </w:rPr>
        <w:t>Лицензиат обязан предоставить Сублицензиату информацию в отношении всей цепочки собственников (учредителей, участников), а также бенефициаров, (в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Лицензиат обязан предоставить соответствующую информацию не позднее 5 (пяти) календарных дней после таких изменений</w:t>
      </w:r>
      <w:r>
        <w:rPr>
          <w:rFonts w:cs="Tahoma"/>
          <w:bCs/>
          <w:color w:val="000000"/>
        </w:rPr>
        <w:t>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bookmarkStart w:id="2" w:name="_GoBack"/>
      <w:bookmarkEnd w:id="2"/>
      <w:r>
        <w:rPr>
          <w:rFonts w:cs="Tahoma"/>
          <w:bCs/>
          <w:color w:val="00000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A974A1" w:rsidRDefault="00A974A1" w:rsidP="00A974A1">
      <w:pPr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Во всём остальном, что прямо не предусмотрено настоящим Договором, Стороны руководствуются условиями Соглашений и действующим законодательством Российской Федерации.</w:t>
      </w:r>
    </w:p>
    <w:p w:rsidR="00A974A1" w:rsidRDefault="00A974A1" w:rsidP="00A974A1">
      <w:pPr>
        <w:pStyle w:val="Tahoma10"/>
        <w:spacing w:line="240" w:lineRule="auto"/>
      </w:pPr>
    </w:p>
    <w:p w:rsidR="00A974A1" w:rsidRDefault="00A974A1" w:rsidP="00A974A1">
      <w:pPr>
        <w:numPr>
          <w:ilvl w:val="0"/>
          <w:numId w:val="1"/>
        </w:numPr>
        <w:jc w:val="both"/>
        <w:rPr>
          <w:rFonts w:cs="Tahoma"/>
          <w:b/>
        </w:rPr>
      </w:pPr>
      <w:r>
        <w:rPr>
          <w:rFonts w:cs="Tahoma"/>
          <w:b/>
        </w:rPr>
        <w:t>Реквизиты Сторон</w:t>
      </w:r>
    </w:p>
    <w:p w:rsidR="00A974A1" w:rsidRDefault="00A974A1" w:rsidP="00A974A1">
      <w:pPr>
        <w:jc w:val="both"/>
        <w:rPr>
          <w:rFonts w:cs="Tahoma"/>
          <w:b/>
        </w:rPr>
        <w:sectPr w:rsidR="00A974A1" w:rsidSect="00A974A1">
          <w:pgSz w:w="11906" w:h="16838" w:code="9"/>
          <w:pgMar w:top="1134" w:right="851" w:bottom="1134" w:left="1701" w:header="709" w:footer="709" w:gutter="0"/>
          <w:cols w:space="709"/>
          <w:docGrid w:linePitch="272"/>
        </w:sect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A974A1" w:rsidTr="00D31AA1">
        <w:trPr>
          <w:trHeight w:val="2340"/>
        </w:trPr>
        <w:tc>
          <w:tcPr>
            <w:tcW w:w="4537" w:type="dxa"/>
          </w:tcPr>
          <w:p w:rsidR="00A974A1" w:rsidRDefault="00A974A1" w:rsidP="00D31AA1">
            <w:pPr>
              <w:adjustRightInd w:val="0"/>
              <w:jc w:val="both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Лицензиат</w:t>
            </w:r>
          </w:p>
          <w:p w:rsidR="00CC0B13" w:rsidRDefault="00CC0B13" w:rsidP="00D31AA1">
            <w:pPr>
              <w:adjustRightInd w:val="0"/>
              <w:jc w:val="both"/>
              <w:rPr>
                <w:rFonts w:cs="Tahoma"/>
                <w:b/>
              </w:rPr>
            </w:pPr>
          </w:p>
          <w:p w:rsidR="00CC0B13" w:rsidRDefault="00CC0B13" w:rsidP="00CC0B13">
            <w:r>
              <w:t xml:space="preserve">Адрес места нахождения: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 xml:space="preserve"> </w:t>
            </w:r>
          </w:p>
          <w:p w:rsidR="00CC0B13" w:rsidRDefault="00CC0B13" w:rsidP="00CC0B13">
            <w:r>
              <w:t xml:space="preserve">Адрес для переписки: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CC0B13" w:rsidRDefault="00CC0B13" w:rsidP="00CC0B13">
            <w:r>
              <w:t xml:space="preserve">ОГРН: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 xml:space="preserve"> </w:t>
            </w:r>
          </w:p>
          <w:p w:rsidR="00CC0B13" w:rsidRDefault="00CC0B13" w:rsidP="00CC0B13">
            <w:r>
              <w:t xml:space="preserve">ИНН/КПП: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>/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CC0B13" w:rsidRDefault="00CC0B13" w:rsidP="00CC0B13">
            <w:r>
              <w:t xml:space="preserve">Расчетный счет: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CC0B13" w:rsidRDefault="00CC0B13" w:rsidP="00CC0B13">
            <w:r>
              <w:t xml:space="preserve">Банк: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CC0B13" w:rsidRDefault="00CC0B13" w:rsidP="00CC0B13">
            <w:proofErr w:type="spellStart"/>
            <w:proofErr w:type="gramStart"/>
            <w:r>
              <w:t>Корр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CC0B13" w:rsidP="00CC0B13">
            <w:r>
              <w:t xml:space="preserve">БИК: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</w:tc>
        <w:tc>
          <w:tcPr>
            <w:tcW w:w="4677" w:type="dxa"/>
          </w:tcPr>
          <w:p w:rsidR="00A974A1" w:rsidRDefault="00A974A1" w:rsidP="00D31AA1">
            <w:pPr>
              <w:jc w:val="both"/>
              <w:rPr>
                <w:b/>
              </w:rPr>
            </w:pPr>
            <w:r>
              <w:rPr>
                <w:b/>
              </w:rPr>
              <w:t>Сублицензиат:</w:t>
            </w:r>
          </w:p>
          <w:p w:rsidR="00A974A1" w:rsidRPr="00CC0B13" w:rsidRDefault="00CC0B13" w:rsidP="00D31AA1">
            <w:pPr>
              <w:rPr>
                <w:b/>
              </w:rPr>
            </w:pPr>
            <w:r w:rsidRPr="00CC0B13">
              <w:rPr>
                <w:b/>
              </w:rPr>
              <w:t>ОАО «ДРСК»</w:t>
            </w:r>
          </w:p>
          <w:p w:rsidR="00A974A1" w:rsidRDefault="00A974A1" w:rsidP="00D31AA1">
            <w:r>
              <w:t xml:space="preserve">Адрес места нахождения: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 xml:space="preserve"> </w:t>
            </w:r>
          </w:p>
          <w:p w:rsidR="00A974A1" w:rsidRDefault="00A974A1" w:rsidP="00D31AA1">
            <w:r>
              <w:t xml:space="preserve">Адрес для переписки: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A974A1" w:rsidP="00D31AA1">
            <w:r>
              <w:t xml:space="preserve">ОГРН: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 xml:space="preserve"> </w:t>
            </w:r>
          </w:p>
          <w:p w:rsidR="00A974A1" w:rsidRDefault="00A974A1" w:rsidP="00D31AA1">
            <w:r>
              <w:t xml:space="preserve">ИНН/КПП: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  <w:r>
              <w:t>/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A974A1" w:rsidP="00D31AA1">
            <w:r>
              <w:t xml:space="preserve">Расчетный счет: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A974A1" w:rsidP="00D31AA1">
            <w:r>
              <w:t xml:space="preserve">Банк: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A974A1" w:rsidP="00D31AA1">
            <w:proofErr w:type="spellStart"/>
            <w:proofErr w:type="gramStart"/>
            <w:r>
              <w:t>Корр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t xml:space="preserve">БИК: </w:t>
            </w:r>
            <w:r w:rsidR="003044E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044ED">
              <w:fldChar w:fldCharType="separate"/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>
              <w:rPr>
                <w:rFonts w:eastAsia="MS UI Gothic"/>
              </w:rPr>
              <w:t> </w:t>
            </w:r>
            <w:r w:rsidR="003044ED">
              <w:fldChar w:fldCharType="end"/>
            </w:r>
          </w:p>
        </w:tc>
      </w:tr>
      <w:tr w:rsidR="00A974A1" w:rsidTr="00D31AA1">
        <w:tc>
          <w:tcPr>
            <w:tcW w:w="453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______________________ /_____________/ 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м.п.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«____» ______________ 20__ 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______________________ /______________/ 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м.п.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«____» ______________ 20__ г.</w:t>
            </w:r>
          </w:p>
        </w:tc>
      </w:tr>
    </w:tbl>
    <w:p w:rsidR="00A974A1" w:rsidRDefault="00A974A1" w:rsidP="00A974A1">
      <w:pPr>
        <w:jc w:val="both"/>
        <w:rPr>
          <w:rFonts w:cs="Tahoma"/>
        </w:rPr>
      </w:pPr>
    </w:p>
    <w:p w:rsidR="00A974A1" w:rsidRDefault="00A974A1" w:rsidP="00A974A1">
      <w:pPr>
        <w:autoSpaceDE/>
        <w:autoSpaceDN/>
        <w:rPr>
          <w:rFonts w:cs="Tahoma"/>
        </w:rPr>
      </w:pPr>
      <w:r>
        <w:rPr>
          <w:rFonts w:cs="Tahoma"/>
        </w:rPr>
        <w:br w:type="page"/>
      </w:r>
    </w:p>
    <w:p w:rsidR="00A974A1" w:rsidRDefault="00A974A1" w:rsidP="00A974A1">
      <w:pPr>
        <w:pStyle w:val="a3"/>
        <w:widowControl w:val="0"/>
        <w:rPr>
          <w:rFonts w:cs="Tahoma"/>
          <w:b/>
          <w:szCs w:val="20"/>
        </w:rPr>
      </w:pPr>
      <w:r>
        <w:rPr>
          <w:rFonts w:cs="Tahoma"/>
          <w:b/>
          <w:szCs w:val="20"/>
        </w:rPr>
        <w:t>Приложение №1</w:t>
      </w:r>
    </w:p>
    <w:p w:rsidR="00A974A1" w:rsidRDefault="00A974A1" w:rsidP="00A974A1">
      <w:pPr>
        <w:pStyle w:val="a3"/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к Сублицензионному договору № </w:t>
      </w:r>
      <w:r>
        <w:rPr>
          <w:rFonts w:cs="Tahoma"/>
          <w:szCs w:val="20"/>
        </w:rPr>
        <w:t>______</w:t>
      </w:r>
    </w:p>
    <w:p w:rsidR="00A974A1" w:rsidRDefault="00A974A1" w:rsidP="00A974A1">
      <w:pPr>
        <w:pStyle w:val="a3"/>
        <w:rPr>
          <w:rFonts w:cs="Tahoma"/>
          <w:b/>
          <w:szCs w:val="20"/>
        </w:rPr>
      </w:pPr>
      <w:r>
        <w:rPr>
          <w:rFonts w:cs="Tahoma"/>
          <w:b/>
          <w:szCs w:val="20"/>
        </w:rPr>
        <w:t>от «___» __________ 20__ г.</w:t>
      </w:r>
    </w:p>
    <w:p w:rsidR="00A974A1" w:rsidRDefault="00A974A1" w:rsidP="00A974A1">
      <w:pPr>
        <w:pStyle w:val="a3"/>
        <w:rPr>
          <w:rFonts w:cs="Tahoma"/>
          <w:b/>
          <w:szCs w:val="20"/>
        </w:rPr>
      </w:pPr>
      <w:r>
        <w:rPr>
          <w:rFonts w:cs="Tahoma"/>
          <w:b/>
          <w:szCs w:val="20"/>
        </w:rPr>
        <w:t>(далее – «Договор»)</w:t>
      </w:r>
    </w:p>
    <w:p w:rsidR="00A974A1" w:rsidRDefault="00A974A1" w:rsidP="00A974A1">
      <w:pPr>
        <w:pStyle w:val="a3"/>
        <w:ind w:left="4962"/>
        <w:rPr>
          <w:rFonts w:cs="Tahoma"/>
          <w:szCs w:val="20"/>
        </w:rPr>
      </w:pPr>
    </w:p>
    <w:p w:rsidR="00A974A1" w:rsidRDefault="00A974A1" w:rsidP="00A974A1">
      <w:pPr>
        <w:pStyle w:val="a3"/>
        <w:rPr>
          <w:rFonts w:cs="Tahoma"/>
          <w:szCs w:val="20"/>
        </w:rPr>
      </w:pPr>
    </w:p>
    <w:p w:rsidR="00A974A1" w:rsidRDefault="00A974A1" w:rsidP="00A974A1">
      <w:pPr>
        <w:pStyle w:val="a3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Спецификация</w:t>
      </w:r>
    </w:p>
    <w:p w:rsidR="00A974A1" w:rsidRDefault="00A974A1" w:rsidP="00A974A1">
      <w:pPr>
        <w:pStyle w:val="a3"/>
        <w:rPr>
          <w:rFonts w:cs="Tahoma"/>
          <w:szCs w:val="20"/>
        </w:rPr>
      </w:pPr>
    </w:p>
    <w:tbl>
      <w:tblPr>
        <w:tblW w:w="9100" w:type="dxa"/>
        <w:tblInd w:w="95" w:type="dxa"/>
        <w:tblLook w:val="0000"/>
      </w:tblPr>
      <w:tblGrid>
        <w:gridCol w:w="996"/>
        <w:gridCol w:w="3381"/>
        <w:gridCol w:w="1350"/>
        <w:gridCol w:w="1667"/>
        <w:gridCol w:w="1706"/>
      </w:tblGrid>
      <w:tr w:rsidR="00A974A1" w:rsidTr="00D31AA1">
        <w:trPr>
          <w:trHeight w:val="842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SKU</w:t>
            </w:r>
          </w:p>
        </w:tc>
        <w:tc>
          <w:tcPr>
            <w:tcW w:w="3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Программы для ЭВМ, в отношении которых предоставляется право использования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Кол-во лицензий*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Цена за год, руб. РФ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Сумма год, руб</w:t>
            </w:r>
            <w:proofErr w:type="gramStart"/>
            <w:r>
              <w:rPr>
                <w:rFonts w:cs="Tahoma"/>
                <w:b/>
                <w:bCs/>
                <w:szCs w:val="20"/>
              </w:rPr>
              <w:t>.Р</w:t>
            </w:r>
            <w:proofErr w:type="gramEnd"/>
            <w:r>
              <w:rPr>
                <w:rFonts w:cs="Tahoma"/>
                <w:b/>
                <w:bCs/>
                <w:szCs w:val="20"/>
              </w:rPr>
              <w:t>Ф</w:t>
            </w:r>
          </w:p>
        </w:tc>
      </w:tr>
      <w:tr w:rsidR="00A974A1" w:rsidTr="00D31AA1">
        <w:trPr>
          <w:trHeight w:val="86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164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4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szCs w:val="20"/>
              </w:rPr>
            </w:pPr>
          </w:p>
        </w:tc>
      </w:tr>
      <w:tr w:rsidR="00A974A1" w:rsidTr="00D31AA1">
        <w:trPr>
          <w:trHeight w:val="285"/>
        </w:trPr>
        <w:tc>
          <w:tcPr>
            <w:tcW w:w="7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974A1" w:rsidRDefault="00A974A1" w:rsidP="00CC0B13">
            <w:pPr>
              <w:pStyle w:val="a3"/>
              <w:rPr>
                <w:rFonts w:cs="Tahoma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20"/>
              </w:rPr>
              <w:t>Общая сумма</w:t>
            </w:r>
            <w:r w:rsidR="00CC0B13">
              <w:rPr>
                <w:rFonts w:cs="Tahoma"/>
                <w:b/>
                <w:bCs/>
                <w:color w:val="000000"/>
                <w:sz w:val="18"/>
                <w:szCs w:val="20"/>
              </w:rPr>
              <w:t xml:space="preserve"> за один год</w:t>
            </w:r>
            <w:r>
              <w:rPr>
                <w:rFonts w:cs="Tahoma"/>
                <w:b/>
                <w:bCs/>
                <w:color w:val="000000"/>
                <w:sz w:val="18"/>
                <w:szCs w:val="20"/>
              </w:rPr>
              <w:t>, руб.</w:t>
            </w:r>
            <w:r w:rsidR="00CC0B13">
              <w:rPr>
                <w:rFonts w:cs="Tahoma"/>
                <w:b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cs="Tahoma"/>
                <w:b/>
                <w:bCs/>
                <w:color w:val="000000"/>
                <w:sz w:val="18"/>
                <w:szCs w:val="20"/>
              </w:rPr>
              <w:t>РФ, НДС не облагается согласно пп.26 п.2. ст.149 НК РФ: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974A1" w:rsidRDefault="00A974A1" w:rsidP="00D31AA1">
            <w:pPr>
              <w:pStyle w:val="a3"/>
              <w:rPr>
                <w:rFonts w:cs="Tahoma"/>
                <w:b/>
                <w:bCs/>
                <w:szCs w:val="20"/>
              </w:rPr>
            </w:pPr>
          </w:p>
        </w:tc>
      </w:tr>
    </w:tbl>
    <w:p w:rsidR="00A974A1" w:rsidRDefault="00A974A1" w:rsidP="00A974A1">
      <w:pPr>
        <w:pStyle w:val="a3"/>
        <w:rPr>
          <w:rFonts w:cs="Tahoma"/>
          <w:sz w:val="16"/>
          <w:szCs w:val="16"/>
        </w:rPr>
      </w:pPr>
      <w:r>
        <w:rPr>
          <w:rFonts w:cs="Tahoma"/>
          <w:b/>
          <w:sz w:val="16"/>
          <w:szCs w:val="16"/>
        </w:rPr>
        <w:t xml:space="preserve">* </w:t>
      </w:r>
      <w:r>
        <w:rPr>
          <w:rFonts w:cs="Tahoma"/>
          <w:sz w:val="16"/>
          <w:szCs w:val="16"/>
        </w:rPr>
        <w:t>под одной лицензией понимается одна ЭВМ, определяемая в соответствии с условиями Соглашений, на которой возможно использование программ для ЭВМ.</w:t>
      </w:r>
    </w:p>
    <w:p w:rsidR="00A974A1" w:rsidRDefault="00A974A1" w:rsidP="00A974A1">
      <w:pPr>
        <w:jc w:val="both"/>
        <w:rPr>
          <w:rFonts w:cs="Tahoma"/>
        </w:rPr>
      </w:pPr>
    </w:p>
    <w:tbl>
      <w:tblPr>
        <w:tblW w:w="9214" w:type="dxa"/>
        <w:tblInd w:w="-34" w:type="dxa"/>
        <w:tblLayout w:type="fixed"/>
        <w:tblLook w:val="0000"/>
      </w:tblPr>
      <w:tblGrid>
        <w:gridCol w:w="4537"/>
        <w:gridCol w:w="4677"/>
      </w:tblGrid>
      <w:tr w:rsidR="00A974A1" w:rsidTr="00D31AA1">
        <w:tc>
          <w:tcPr>
            <w:tcW w:w="4537" w:type="dxa"/>
          </w:tcPr>
          <w:p w:rsidR="00A974A1" w:rsidRDefault="00A974A1" w:rsidP="00D31AA1">
            <w:pPr>
              <w:jc w:val="both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Лицензиат:</w:t>
            </w:r>
          </w:p>
          <w:p w:rsidR="00A974A1" w:rsidRDefault="00A974A1" w:rsidP="00CC0B13">
            <w:pPr>
              <w:adjustRightInd w:val="0"/>
              <w:jc w:val="both"/>
              <w:rPr>
                <w:rFonts w:cs="Tahoma"/>
                <w:b/>
              </w:rPr>
            </w:pPr>
          </w:p>
        </w:tc>
        <w:tc>
          <w:tcPr>
            <w:tcW w:w="4677" w:type="dxa"/>
          </w:tcPr>
          <w:p w:rsidR="00A974A1" w:rsidRDefault="00A974A1" w:rsidP="00D31AA1">
            <w:pPr>
              <w:jc w:val="both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Сублицензиат:</w:t>
            </w:r>
          </w:p>
          <w:p w:rsidR="00CC0B13" w:rsidRDefault="00CC0B13" w:rsidP="00D31AA1">
            <w:pPr>
              <w:jc w:val="both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ОАО «ДРСК»</w:t>
            </w:r>
          </w:p>
        </w:tc>
      </w:tr>
      <w:tr w:rsidR="00A974A1" w:rsidTr="00D31AA1">
        <w:tc>
          <w:tcPr>
            <w:tcW w:w="453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</w:tc>
      </w:tr>
      <w:tr w:rsidR="00A974A1" w:rsidTr="00D31AA1">
        <w:tc>
          <w:tcPr>
            <w:tcW w:w="453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______________________ /_____________/ 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м.п.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«____» ______________ 20__ г.</w:t>
            </w:r>
          </w:p>
        </w:tc>
        <w:tc>
          <w:tcPr>
            <w:tcW w:w="4677" w:type="dxa"/>
            <w:tcMar>
              <w:left w:w="227" w:type="dxa"/>
              <w:right w:w="227" w:type="dxa"/>
            </w:tcMar>
          </w:tcPr>
          <w:p w:rsidR="00A974A1" w:rsidRDefault="00A974A1" w:rsidP="00D31AA1">
            <w:pPr>
              <w:jc w:val="both"/>
              <w:rPr>
                <w:rFonts w:cs="Tahoma"/>
              </w:rPr>
            </w:pP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______________________ /______________/ 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м.п.</w:t>
            </w:r>
          </w:p>
          <w:p w:rsidR="00A974A1" w:rsidRDefault="00A974A1" w:rsidP="00D31AA1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«____» ______________ 20__ г.</w:t>
            </w:r>
          </w:p>
        </w:tc>
      </w:tr>
    </w:tbl>
    <w:p w:rsidR="00A974A1" w:rsidRDefault="00A974A1" w:rsidP="00A974A1">
      <w:pPr>
        <w:pStyle w:val="a3"/>
        <w:rPr>
          <w:rFonts w:cs="Tahoma"/>
          <w:szCs w:val="20"/>
        </w:rPr>
      </w:pPr>
    </w:p>
    <w:p w:rsidR="00A974A1" w:rsidRDefault="00A974A1" w:rsidP="00A974A1">
      <w:pPr>
        <w:pStyle w:val="a3"/>
        <w:rPr>
          <w:szCs w:val="20"/>
        </w:rPr>
      </w:pPr>
    </w:p>
    <w:p w:rsidR="00A974A1" w:rsidRDefault="00A974A1" w:rsidP="00A974A1">
      <w:pPr>
        <w:jc w:val="both"/>
        <w:rPr>
          <w:rFonts w:cs="Tahoma"/>
        </w:rPr>
      </w:pPr>
    </w:p>
    <w:p w:rsidR="00D71459" w:rsidRDefault="00354278"/>
    <w:sectPr w:rsidR="00D71459" w:rsidSect="003044ED">
      <w:type w:val="continuous"/>
      <w:pgSz w:w="11906" w:h="16838" w:code="9"/>
      <w:pgMar w:top="1134" w:right="851" w:bottom="1134" w:left="1701" w:header="709" w:footer="709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4A1" w:rsidRDefault="00A974A1" w:rsidP="00A974A1">
      <w:r>
        <w:separator/>
      </w:r>
    </w:p>
  </w:endnote>
  <w:endnote w:type="continuationSeparator" w:id="0">
    <w:p w:rsidR="00A974A1" w:rsidRDefault="00A974A1" w:rsidP="00A97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UI Gothic"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4A1" w:rsidRDefault="00A974A1" w:rsidP="00A974A1">
      <w:r>
        <w:separator/>
      </w:r>
    </w:p>
  </w:footnote>
  <w:footnote w:type="continuationSeparator" w:id="0">
    <w:p w:rsidR="00A974A1" w:rsidRDefault="00A974A1" w:rsidP="00A97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5439D"/>
    <w:multiLevelType w:val="multilevel"/>
    <w:tmpl w:val="E16C7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4A1"/>
    <w:rsid w:val="0019046E"/>
    <w:rsid w:val="003044ED"/>
    <w:rsid w:val="00354278"/>
    <w:rsid w:val="003559F4"/>
    <w:rsid w:val="00732F95"/>
    <w:rsid w:val="00A974A1"/>
    <w:rsid w:val="00B3737C"/>
    <w:rsid w:val="00CC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74A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A974A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A974A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A974A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A974A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A974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rsid w:val="00A974A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974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4A1"/>
    <w:rPr>
      <w:rFonts w:ascii="Tahoma" w:eastAsia="Times New Roman" w:hAnsi="Tahoma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97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1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74A1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A974A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homa10">
    <w:name w:val="Стиль Основной текст + Tahoma 10 пт Междустр.интервал:  множитель..."/>
    <w:basedOn w:val="a3"/>
    <w:rsid w:val="00A974A1"/>
    <w:pPr>
      <w:spacing w:line="264" w:lineRule="auto"/>
    </w:pPr>
    <w:rPr>
      <w:szCs w:val="20"/>
    </w:rPr>
  </w:style>
  <w:style w:type="paragraph" w:styleId="a5">
    <w:name w:val="footer"/>
    <w:basedOn w:val="a"/>
    <w:link w:val="a6"/>
    <w:rsid w:val="00A974A1"/>
    <w:pPr>
      <w:tabs>
        <w:tab w:val="center" w:pos="4677"/>
        <w:tab w:val="right" w:pos="9355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A974A1"/>
    <w:rPr>
      <w:rFonts w:ascii="Tahoma" w:eastAsia="Times New Roman" w:hAnsi="Tahoma" w:cs="Times New Roman"/>
      <w:sz w:val="16"/>
      <w:szCs w:val="20"/>
      <w:lang w:eastAsia="ru-RU"/>
    </w:rPr>
  </w:style>
  <w:style w:type="paragraph" w:styleId="a7">
    <w:name w:val="Normal (Web)"/>
    <w:basedOn w:val="a"/>
    <w:uiPriority w:val="99"/>
    <w:unhideWhenUsed/>
    <w:rsid w:val="00A974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rsid w:val="00A974A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974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4A1"/>
    <w:rPr>
      <w:rFonts w:ascii="Tahoma" w:eastAsia="Times New Roman" w:hAnsi="Tahoma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97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Valuyskaya Yuliya</dc:creator>
  <cp:lastModifiedBy>Игорь Волков</cp:lastModifiedBy>
  <cp:revision>3</cp:revision>
  <dcterms:created xsi:type="dcterms:W3CDTF">2012-06-22T07:33:00Z</dcterms:created>
  <dcterms:modified xsi:type="dcterms:W3CDTF">2012-06-24T23:39:00Z</dcterms:modified>
</cp:coreProperties>
</file>